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金融大楼市政工程项目招标函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金融大楼市政工程项目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会昌县城内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市政工程施工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总工期40天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2022年8月26日至2022年8月29日18点前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b w:val="0"/>
                <w:bCs w:val="0"/>
                <w:sz w:val="32"/>
                <w:szCs w:val="32"/>
                <w:vertAlign w:val="baseline"/>
                <w:lang w:val="en-US" w:eastAsia="zh-CN"/>
              </w:rPr>
              <w:t>按每月支付合格工程量的70%，验收合格后付至95%，剩余5%完工后半年内付清。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含增值税专票、人工、辅材、机械费等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林先生 15870710</w:t>
            </w:r>
            <w:bookmarkStart w:id="1" w:name="_GoBack"/>
            <w:bookmarkEnd w:id="1"/>
            <w:r>
              <w:rPr>
                <w:rFonts w:hint="eastAsia" w:ascii="仿宋" w:hAnsi="仿宋" w:eastAsia="仿宋" w:cs="仿宋"/>
                <w:b w:val="0"/>
                <w:bCs w:val="0"/>
                <w:sz w:val="28"/>
                <w:szCs w:val="28"/>
                <w:vertAlign w:val="baseline"/>
                <w:lang w:val="en-US" w:eastAsia="zh-CN"/>
              </w:rPr>
              <w:t>725</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（金融大厦技术负责人）       张先生18046876070</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2022年8月30号10时00分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报价文件由报价表（参照附件格式）、法人身份证复印件、公司营业执照复印件，关于市政工程相关资质的劳务公司，开户许可证复印件、委托书及被委托人身份证复印件、承诺书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报价必须密封否则无效</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壹</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eastAsia="zh-CN"/>
        </w:rPr>
        <w:t>自动转为履约保证金。</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三、承包内容：</w:t>
      </w:r>
    </w:p>
    <w:p>
      <w:pPr>
        <w:spacing w:line="480" w:lineRule="exact"/>
        <w:ind w:firstLine="560"/>
        <w:jc w:val="cente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排水排污施工班组</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沟槽开挖</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根据土质情况及开挖深度设定开挖边坡坡度，以保证安全施工。沟槽开挖采用挖掘机挖方自卸汽车、翻斗车配合运转。预留150mm厚作为人工修理，开挖至设计高程，自检合格后即邀请建设方、监理方、质量监督方、设计方到场验收。沟槽开挖必须保证沟槽边坡符合有关规范及土 质要求。机械开挖沟槽时，要控制好槽底高程，防止超挖。 开挖管沟应避免在雨天进行，如必须施工，应采取有效的排水措施，以防沟槽积水；开挖的沟槽标高在地下水位以上时，应先设法降低水位； 无论人工或机械挖土都应严格按沟槽断面尺寸进行，沟槽应平整，槽底坡向坡度 要符合图纸要求，禁止超挖。 当开挖到槽底深度时，应随时复核槽底标高，并钉设槽底标桩，避免超挖。若实际发生超挖或发现地基达不到设计要求时，应以碎石、砂砾石、砌片石、或混 凝土等材料作为垫层，加固基础处理，不得用原土回填；或通知设计人员现场处理。 </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管道基础</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开挖完成并报监理验槽合格后，重新放线定位，采用全站仪控制管道中心线；用水准仪直接架在沟底测量，每</w:t>
      </w:r>
      <w:r>
        <w:rPr>
          <w:rFonts w:hint="eastAsia" w:ascii="仿宋" w:hAnsi="仿宋" w:eastAsia="仿宋" w:cs="仿宋"/>
          <w:sz w:val="28"/>
          <w:szCs w:val="28"/>
          <w:lang w:val="en-US" w:eastAsia="zh-CN"/>
        </w:rPr>
        <w:t>5米</w:t>
      </w:r>
      <w:r>
        <w:rPr>
          <w:rFonts w:hint="eastAsia" w:ascii="仿宋" w:hAnsi="仿宋" w:eastAsia="仿宋" w:cs="仿宋"/>
          <w:sz w:val="28"/>
          <w:szCs w:val="28"/>
          <w:lang w:eastAsia="zh-CN"/>
        </w:rPr>
        <w:t>⼀个测站，控制高程。根据设计要求采用混凝土或砂石基础。砼平基浇筑高程严控，振捣严密。</w:t>
      </w:r>
      <w:r>
        <w:rPr>
          <w:rFonts w:hint="eastAsia" w:ascii="仿宋" w:hAnsi="仿宋" w:eastAsia="仿宋" w:cs="仿宋"/>
          <w:sz w:val="28"/>
          <w:szCs w:val="28"/>
          <w:lang w:val="en-US" w:eastAsia="zh-CN"/>
        </w:rPr>
        <w:t>二</w:t>
      </w:r>
      <w:r>
        <w:rPr>
          <w:rFonts w:hint="eastAsia" w:ascii="仿宋" w:hAnsi="仿宋" w:eastAsia="仿宋" w:cs="仿宋"/>
          <w:sz w:val="28"/>
          <w:szCs w:val="28"/>
          <w:lang w:eastAsia="zh-CN"/>
        </w:rPr>
        <w:t>次浇筑管座冲刷后进行，肩高可在管外壁划线控制。砂石基础按照施工 验收规范要满足压实度要求。</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管道铺设</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养护待管基强度满要求后，用白灰撒放管道中线进行管道安装。采用吊车安装并设专人指挥。 测量人员跟班作业，负责控制管道中线及高程；校正、稳固管道采用预制砼垫块 排水管管口伸 入井室30mm，管顶砖砌圈加固，以减少管顶压力。接口水泥砂浆钢丝网抹带，插入管基深10～ 15cm，在抹带施工前，将抹带宽度内管外壁凿毛、刷净、润湿。浇筑混凝土管座。待混凝土强度达到要求时回填。</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 xml:space="preserve">检查井吊装及砌筑 </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1）、基坑混凝土垫层找平后，吊装混凝土预制井，要求安装后两头管道顺直，不得翘头积水，接口处砌筑密封。</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所有砖材要浇水湿润，砖砌体使用砂浆要随拌随用，并在初凝前完成。砖墙砌筑采用挤浆 法。</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 xml:space="preserve">）、砖墙厚度根据井的设计规格严格控制，到⼀定深度及时量测变换砖墙尺寸，要考虑抹面的砂浆厚度。砖墙隔日砌筑时，将砌筑的砖墙顶部清洗干净，并充分湿润。 </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）、在砌筑过程中按设计要求留支管和连管的管头，预留管头考虑方向、高度、坡度，防止因埋深不足，方向不正等问题引起的返工。预留管头与井的砖墙接头处打外接口，内口要粉平。</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沟槽回填</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沟槽内砖、石、木块等杂物清除干净，沟槽内不得有积水，保持降排水系统正常运行，不得带水回填。回填从管道两侧平衡进行，回填土分层夯实（每层20cm），回填土压实度要符合《给排水管道</w:t>
      </w:r>
      <w:r>
        <w:rPr>
          <w:rFonts w:hint="eastAsia" w:ascii="仿宋" w:hAnsi="仿宋" w:eastAsia="仿宋" w:cs="仿宋"/>
          <w:sz w:val="28"/>
          <w:szCs w:val="28"/>
          <w:lang w:val="en-US" w:eastAsia="zh-CN"/>
        </w:rPr>
        <w:t>工</w:t>
      </w:r>
      <w:r>
        <w:rPr>
          <w:rFonts w:hint="eastAsia" w:ascii="仿宋" w:hAnsi="仿宋" w:eastAsia="仿宋" w:cs="仿宋"/>
          <w:sz w:val="28"/>
          <w:szCs w:val="28"/>
          <w:lang w:eastAsia="zh-CN"/>
        </w:rPr>
        <w:t>程施工及验收规范要求》。</w:t>
      </w:r>
    </w:p>
    <w:p>
      <w:pPr>
        <w:spacing w:line="480" w:lineRule="exact"/>
        <w:ind w:firstLine="560"/>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人行道施工班组</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1、砼垫层施工</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为了确保工程质量符合标准要求，按期完成交付使用，方便沿线群众生活，根据气候、气温条件和工程内在特点，垫层采用C15砼。</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1.1、施工程序：</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放线→测桩→立模→砼熟料→浇筑（试块）→振捣→养生→切缝。</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1.2、摊铺砼</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a、摊铺前检查底层密实和平整情况</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b、清理模板内杂物。</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c、传力杆与纵缝垂直，绑扎牢固，套好套管。</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d、摊铺砼时应预留坍落高度，一般为2-2.5cm。</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e、一块砼板必须一次连续浇注完毕，遇到雨天必须将铡浇好路面，做好覆盖保护。</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1.3、振捣</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a、砼摊铺找平后，使用平板振动器，先沿四周振捣1-2遍，然后垂直路线方向振捣，行行重叠20cm左右，振捣总遍数不少于4次。再用振动棒将模板边捣实，防止蜂窝麻面。</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b、在平板振动器和振动棒振实后，用全幅振动器振实整平，提浆棒提浆。</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1.4、成形养护</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成形后洒水，经常保持湿润，养护时间视具体气候季节而言，一般不少于3-5天。</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2、人行道透水砖（人行道板）及路缘石铺设</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2.2基础混凝土初凝后开始铺砂浆找平层。砂浆严格按配合比拌和。</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2.3砂浆找平层开始初凝即可进行人行道透水砖（盲道砖）的安装，人行道透水砖及盲道砖具体式样由甲方指定。</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其工艺流程为：基层验收合格——测定平面高层——按计划堆放人行道砖及盲道砖——拌制砌筑灰浆——铺装、拼花——检查平面净高程——分条或分段铺装、拼花——填缝浇水灌实——养生——放行。</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a、人行道透水砖及盲道砖使用前外观要求，表面颜色一致，无露石，裂缝等现象。</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b、道砖铺装需轻拿轻放，用橡皮锤或木锤敲实，不得损坏边角。</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c、铺好后立即沿线检查平整度，发现位移，不稳，翘角与相邻板不平等现象，立即修正，最后用干细砂掺1/10水泥，拌和均匀，将缝填满，并保持砖面清洁。</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2.4、路缘石安装</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本次路面采用在路面两边，安砌缘石，衔接路面与人行道、人行道与绿化带、绿化带与路面之间的高层，解决路面纵向排水，及行车标志问题。</w:t>
      </w:r>
    </w:p>
    <w:p>
      <w:pPr>
        <w:spacing w:line="480" w:lineRule="exact"/>
        <w:ind w:firstLine="560"/>
        <w:jc w:val="both"/>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质量要求</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缘石安砌稳固，做到沿线顺直，曲线圆滑，缘石顶面平整无错牙，勾缝饱满严密，整洁坚实，雨水口缘石安砌，应与雨水口施工配合，做到牢固，位置准确，缘石勾缝，宜在基层完成后进行，安置完成后，湿法养生三天，防止碰撞，偏沉。</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承包范围包含：人工、辅助材料、小型机具、各种低值易耗品。</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投标人进行安全技术交底，乙方必须严格按照国家施工规范进行施工，工程质量经过实测实量均要符合质量验评标准，以国家现行质量验评标准评分为依据，实测合格率达到100%。</w:t>
      </w:r>
    </w:p>
    <w:p>
      <w:pPr>
        <w:pStyle w:val="3"/>
        <w:ind w:left="0" w:leftChars="0" w:firstLine="0" w:firstLineChars="0"/>
        <w:rPr>
          <w:rFonts w:hint="eastAsia"/>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pStyle w:val="5"/>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控制价</w:t>
      </w:r>
    </w:p>
    <w:tbl>
      <w:tblPr>
        <w:tblStyle w:val="7"/>
        <w:tblW w:w="102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1110"/>
        <w:gridCol w:w="1665"/>
        <w:gridCol w:w="797"/>
        <w:gridCol w:w="1035"/>
        <w:gridCol w:w="1130"/>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5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111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166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79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103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控制单价</w:t>
            </w:r>
          </w:p>
        </w:tc>
        <w:tc>
          <w:tcPr>
            <w:tcW w:w="113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c>
          <w:tcPr>
            <w:tcW w:w="29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581"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雨、污水井</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18</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1000-1200mm现浇混凝土</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座</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1800</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30600</w:t>
            </w:r>
          </w:p>
        </w:tc>
        <w:tc>
          <w:tcPr>
            <w:tcW w:w="2940" w:type="dxa"/>
            <w:vMerge w:val="restart"/>
            <w:vAlign w:val="center"/>
          </w:tcPr>
          <w:p>
            <w:pPr>
              <w:pStyle w:val="5"/>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包含：土方开挖、混凝土垫层、钢筋模板制作及安装、安装盖板、加高井筒，放井盖、回填夯实</w:t>
            </w:r>
          </w:p>
          <w:p>
            <w:pPr>
              <w:pStyle w:val="5"/>
              <w:ind w:left="0" w:leftChars="0" w:firstLine="0" w:firstLineChars="0"/>
              <w:jc w:val="center"/>
              <w:rPr>
                <w:rFonts w:hint="eastAsia"/>
                <w:lang w:val="en-US" w:eastAsia="zh-CN"/>
              </w:rPr>
            </w:pPr>
            <w:r>
              <w:rPr>
                <w:rFonts w:hint="eastAsia" w:ascii="楷体" w:hAnsi="楷体" w:eastAsia="楷体" w:cs="楷体"/>
                <w:sz w:val="24"/>
                <w:szCs w:val="24"/>
                <w:vertAlign w:val="baseline"/>
                <w:lang w:val="en-US" w:eastAsia="zh-CN"/>
              </w:rPr>
              <w:t>（含爬梯、防坠网等材料）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化粪池</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G7-20QF钢筋混凝土化粪池做法详图集03S702</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座</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3500</w:t>
            </w:r>
          </w:p>
        </w:tc>
        <w:tc>
          <w:tcPr>
            <w:tcW w:w="113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3500</w:t>
            </w:r>
          </w:p>
        </w:tc>
        <w:tc>
          <w:tcPr>
            <w:tcW w:w="2940" w:type="dxa"/>
            <w:vMerge w:val="continue"/>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581"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楷体" w:hAnsi="楷体" w:eastAsia="楷体" w:cs="楷体"/>
                <w:sz w:val="24"/>
                <w:szCs w:val="24"/>
                <w:vertAlign w:val="baseline"/>
                <w:lang w:val="en-US" w:eastAsia="zh-CN"/>
              </w:rPr>
              <w:t>预埋波纹管</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240</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ND600</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70</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16800</w:t>
            </w:r>
          </w:p>
        </w:tc>
        <w:tc>
          <w:tcPr>
            <w:tcW w:w="2940" w:type="dxa"/>
            <w:vMerge w:val="restart"/>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包含：沟槽土方开挖、安放管道、勾缝、自拌混凝土垫层、浇筑混凝土护臂，回填料回填、土方回填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81"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楷体" w:hAnsi="楷体" w:eastAsia="楷体" w:cs="楷体"/>
                <w:sz w:val="24"/>
                <w:szCs w:val="24"/>
                <w:vertAlign w:val="baseline"/>
                <w:lang w:val="en-US" w:eastAsia="zh-CN"/>
              </w:rPr>
              <w:t>预埋波纹管</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240</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ND200-DN300</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42</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10080</w:t>
            </w:r>
          </w:p>
        </w:tc>
        <w:tc>
          <w:tcPr>
            <w:tcW w:w="2940" w:type="dxa"/>
            <w:vMerge w:val="continue"/>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default" w:ascii="楷体" w:hAnsi="楷体" w:eastAsia="楷体" w:cs="楷体"/>
                <w:sz w:val="24"/>
                <w:szCs w:val="24"/>
                <w:vertAlign w:val="baseline"/>
                <w:lang w:val="en-US" w:eastAsia="zh-CN"/>
              </w:rPr>
              <w:t>单箅式雨水口</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11</w:t>
            </w:r>
          </w:p>
        </w:tc>
        <w:tc>
          <w:tcPr>
            <w:tcW w:w="1665"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680×380mm，井深1.2m，</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座</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260</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2860</w:t>
            </w:r>
          </w:p>
        </w:tc>
        <w:tc>
          <w:tcPr>
            <w:tcW w:w="2940" w:type="dxa"/>
            <w:vMerge w:val="restart"/>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楷体" w:hAnsi="楷体" w:eastAsia="楷体" w:cs="楷体"/>
                <w:sz w:val="24"/>
                <w:szCs w:val="24"/>
                <w:vertAlign w:val="baseline"/>
                <w:lang w:val="en-US" w:eastAsia="zh-CN"/>
              </w:rPr>
              <w:t>包含：土方开挖，雨水口基础浇筑，砌筑，内面粉刷，安装雨水篦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双</w:t>
            </w:r>
            <w:r>
              <w:rPr>
                <w:rFonts w:hint="default" w:ascii="楷体" w:hAnsi="楷体" w:eastAsia="楷体" w:cs="楷体"/>
                <w:sz w:val="24"/>
                <w:szCs w:val="24"/>
                <w:vertAlign w:val="baseline"/>
                <w:lang w:val="en-US" w:eastAsia="zh-CN"/>
              </w:rPr>
              <w:t>箅式雨水口</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10</w:t>
            </w:r>
          </w:p>
        </w:tc>
        <w:tc>
          <w:tcPr>
            <w:tcW w:w="1665"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1330×380mm，井深1.2m，</w:t>
            </w:r>
          </w:p>
        </w:tc>
        <w:tc>
          <w:tcPr>
            <w:tcW w:w="797"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座</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410</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4100</w:t>
            </w:r>
          </w:p>
        </w:tc>
        <w:tc>
          <w:tcPr>
            <w:tcW w:w="2940" w:type="dxa"/>
            <w:vMerge w:val="continue"/>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预埋塑料检查井</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5</w:t>
            </w:r>
          </w:p>
        </w:tc>
        <w:tc>
          <w:tcPr>
            <w:tcW w:w="1665"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井筒直径700mm以内</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座</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104</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520</w:t>
            </w:r>
          </w:p>
        </w:tc>
        <w:tc>
          <w:tcPr>
            <w:tcW w:w="2940" w:type="dxa"/>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包含：沟槽土方开挖、对接管道、勾缝、自拌混凝土垫层、浇筑混凝土护臂，回填料回填、土方回填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停车位</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410</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植草砖、吸水砖</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40</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16400</w:t>
            </w:r>
          </w:p>
        </w:tc>
        <w:tc>
          <w:tcPr>
            <w:tcW w:w="29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3cm厚粗砂垫层、植草砖孔内含种植土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铺装</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1459</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30mm厚花岗岩</w:t>
            </w:r>
          </w:p>
        </w:tc>
        <w:tc>
          <w:tcPr>
            <w:tcW w:w="797"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33</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48147</w:t>
            </w:r>
          </w:p>
        </w:tc>
        <w:tc>
          <w:tcPr>
            <w:tcW w:w="2940" w:type="dxa"/>
            <w:vMerge w:val="restart"/>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30mm厚1:3</w:t>
            </w:r>
            <w:r>
              <w:rPr>
                <w:rFonts w:hint="eastAsia" w:ascii="楷体" w:hAnsi="楷体" w:eastAsia="楷体" w:cs="楷体"/>
                <w:sz w:val="24"/>
                <w:szCs w:val="24"/>
                <w:vertAlign w:val="baseline"/>
                <w:lang w:val="en-US" w:eastAsia="zh-CN"/>
              </w:rPr>
              <w:t>干硬性水泥砂浆，自拌10cm厚C20砼垫层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路缘石铺贴</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420</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600*300*120花岗岩</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12</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5040</w:t>
            </w:r>
          </w:p>
        </w:tc>
        <w:tc>
          <w:tcPr>
            <w:tcW w:w="2940" w:type="dxa"/>
            <w:vMerge w:val="continue"/>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路平石铺贴</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420</w:t>
            </w:r>
          </w:p>
        </w:tc>
        <w:tc>
          <w:tcPr>
            <w:tcW w:w="1665"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600*100*120</w:t>
            </w:r>
          </w:p>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花岗岩</w:t>
            </w:r>
          </w:p>
        </w:tc>
        <w:tc>
          <w:tcPr>
            <w:tcW w:w="797"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12</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5040</w:t>
            </w:r>
          </w:p>
        </w:tc>
        <w:tc>
          <w:tcPr>
            <w:tcW w:w="2940" w:type="dxa"/>
            <w:vMerge w:val="continue"/>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台阶铺贴</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21.25</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600*300*100花岗岩</w:t>
            </w:r>
          </w:p>
        </w:tc>
        <w:tc>
          <w:tcPr>
            <w:tcW w:w="797"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56</w:t>
            </w: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1190</w:t>
            </w:r>
          </w:p>
        </w:tc>
        <w:tc>
          <w:tcPr>
            <w:tcW w:w="2940" w:type="dxa"/>
            <w:vMerge w:val="continue"/>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6188" w:type="dxa"/>
            <w:gridSpan w:val="5"/>
            <w:vAlign w:val="center"/>
          </w:tcPr>
          <w:p>
            <w:pPr>
              <w:pStyle w:val="5"/>
              <w:jc w:val="center"/>
              <w:rPr>
                <w:rFonts w:hint="default"/>
                <w:lang w:val="en-US" w:eastAsia="zh-CN"/>
              </w:rPr>
            </w:pPr>
            <w:r>
              <w:rPr>
                <w:rFonts w:hint="eastAsia" w:ascii="楷体" w:hAnsi="楷体" w:eastAsia="楷体" w:cs="楷体"/>
                <w:i w:val="0"/>
                <w:iCs w:val="0"/>
                <w:color w:val="000000"/>
                <w:kern w:val="0"/>
                <w:sz w:val="28"/>
                <w:szCs w:val="28"/>
                <w:u w:val="none"/>
                <w:lang w:val="en-US" w:eastAsia="zh-CN" w:bidi="ar"/>
              </w:rPr>
              <w:t>合计金额：</w:t>
            </w:r>
          </w:p>
        </w:tc>
        <w:tc>
          <w:tcPr>
            <w:tcW w:w="4070" w:type="dxa"/>
            <w:gridSpan w:val="2"/>
            <w:vAlign w:val="center"/>
          </w:tcPr>
          <w:p>
            <w:pPr>
              <w:keepNext w:val="0"/>
              <w:keepLines w:val="0"/>
              <w:widowControl/>
              <w:suppressLineNumbers w:val="0"/>
              <w:jc w:val="center"/>
              <w:textAlignment w:val="center"/>
              <w:rPr>
                <w:rFonts w:hint="default" w:ascii="宋体" w:hAnsi="宋体" w:eastAsia="宋体" w:cs="宋体"/>
                <w:kern w:val="2"/>
                <w:sz w:val="24"/>
                <w:szCs w:val="24"/>
                <w:vertAlign w:val="baseline"/>
                <w:lang w:val="en-US" w:eastAsia="zh-CN" w:bidi="ar-SA"/>
              </w:rPr>
            </w:pPr>
            <w:r>
              <w:rPr>
                <w:rFonts w:hint="eastAsia" w:ascii="楷体" w:hAnsi="楷体" w:eastAsia="楷体" w:cs="楷体"/>
                <w:i w:val="0"/>
                <w:iCs w:val="0"/>
                <w:color w:val="000000"/>
                <w:kern w:val="0"/>
                <w:sz w:val="28"/>
                <w:szCs w:val="40"/>
                <w:u w:val="none"/>
                <w:lang w:val="en-US" w:eastAsia="zh-CN" w:bidi="ar"/>
              </w:rPr>
              <w:t>146077元</w:t>
            </w:r>
          </w:p>
        </w:tc>
      </w:tr>
    </w:tbl>
    <w:p>
      <w:pPr>
        <w:pStyle w:val="5"/>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val="en-US" w:eastAsia="zh-CN"/>
        </w:rPr>
        <w:t xml:space="preserve">  </w:t>
      </w:r>
      <w:r>
        <w:rPr>
          <w:rFonts w:hint="eastAsia" w:ascii="黑体" w:hAnsi="黑体" w:eastAsia="黑体" w:cs="黑体"/>
          <w:b w:val="0"/>
          <w:bCs/>
          <w:sz w:val="36"/>
          <w:szCs w:val="36"/>
          <w:lang w:eastAsia="zh-CN"/>
        </w:rPr>
        <w:t>报价单</w:t>
      </w:r>
    </w:p>
    <w:tbl>
      <w:tblPr>
        <w:tblStyle w:val="7"/>
        <w:tblW w:w="102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1110"/>
        <w:gridCol w:w="1665"/>
        <w:gridCol w:w="797"/>
        <w:gridCol w:w="1035"/>
        <w:gridCol w:w="1130"/>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5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111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166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79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103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单价</w:t>
            </w:r>
          </w:p>
        </w:tc>
        <w:tc>
          <w:tcPr>
            <w:tcW w:w="113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c>
          <w:tcPr>
            <w:tcW w:w="29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581"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雨、污水井</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18</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1000-1200mm现浇混凝土</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座</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Merge w:val="restart"/>
            <w:vAlign w:val="center"/>
          </w:tcPr>
          <w:p>
            <w:pPr>
              <w:pStyle w:val="5"/>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包含：土方开挖、混凝土垫层、钢筋模板制作及安装、安装盖板、加高井筒，放井盖、回填夯实</w:t>
            </w:r>
          </w:p>
          <w:p>
            <w:pPr>
              <w:pStyle w:val="5"/>
              <w:ind w:left="0" w:leftChars="0" w:firstLine="0" w:firstLineChars="0"/>
              <w:jc w:val="center"/>
              <w:rPr>
                <w:rFonts w:hint="eastAsia"/>
                <w:lang w:val="en-US" w:eastAsia="zh-CN"/>
              </w:rPr>
            </w:pPr>
            <w:r>
              <w:rPr>
                <w:rFonts w:hint="eastAsia" w:ascii="楷体" w:hAnsi="楷体" w:eastAsia="楷体" w:cs="楷体"/>
                <w:sz w:val="24"/>
                <w:szCs w:val="24"/>
                <w:vertAlign w:val="baseline"/>
                <w:lang w:val="en-US" w:eastAsia="zh-CN"/>
              </w:rPr>
              <w:t>（含爬梯、防坠网等材料）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化粪池</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G7-20QF钢筋混凝土化粪池做法详图集03S702</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座</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2940" w:type="dxa"/>
            <w:vMerge w:val="continue"/>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581"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楷体" w:hAnsi="楷体" w:eastAsia="楷体" w:cs="楷体"/>
                <w:sz w:val="24"/>
                <w:szCs w:val="24"/>
                <w:vertAlign w:val="baseline"/>
                <w:lang w:val="en-US" w:eastAsia="zh-CN"/>
              </w:rPr>
              <w:t>预埋波纹管</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240</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ND600</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Merge w:val="restart"/>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包含：沟槽土方开挖、安放管道、勾缝、自拌混凝土垫层、浇筑混凝土护臂，回填料回填、土方回填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81"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楷体" w:hAnsi="楷体" w:eastAsia="楷体" w:cs="楷体"/>
                <w:sz w:val="24"/>
                <w:szCs w:val="24"/>
                <w:vertAlign w:val="baseline"/>
                <w:lang w:val="en-US" w:eastAsia="zh-CN"/>
              </w:rPr>
              <w:t>预埋波纹管</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240</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ND200-DN300</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Merge w:val="continue"/>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default" w:ascii="楷体" w:hAnsi="楷体" w:eastAsia="楷体" w:cs="楷体"/>
                <w:sz w:val="24"/>
                <w:szCs w:val="24"/>
                <w:vertAlign w:val="baseline"/>
                <w:lang w:val="en-US" w:eastAsia="zh-CN"/>
              </w:rPr>
              <w:t>单箅式雨水口</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11</w:t>
            </w:r>
          </w:p>
        </w:tc>
        <w:tc>
          <w:tcPr>
            <w:tcW w:w="1665"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680×380mm，井深1.2m，</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座</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Merge w:val="restart"/>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楷体" w:hAnsi="楷体" w:eastAsia="楷体" w:cs="楷体"/>
                <w:sz w:val="24"/>
                <w:szCs w:val="24"/>
                <w:vertAlign w:val="baseline"/>
                <w:lang w:val="en-US" w:eastAsia="zh-CN"/>
              </w:rPr>
              <w:t>包含：土方开挖，雨水口基础浇筑，砌筑，内面粉刷，安装雨水篦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双</w:t>
            </w:r>
            <w:r>
              <w:rPr>
                <w:rFonts w:hint="default" w:ascii="楷体" w:hAnsi="楷体" w:eastAsia="楷体" w:cs="楷体"/>
                <w:sz w:val="24"/>
                <w:szCs w:val="24"/>
                <w:vertAlign w:val="baseline"/>
                <w:lang w:val="en-US" w:eastAsia="zh-CN"/>
              </w:rPr>
              <w:t>箅式雨水口</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10</w:t>
            </w:r>
          </w:p>
        </w:tc>
        <w:tc>
          <w:tcPr>
            <w:tcW w:w="1665"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1330×380mm，井深1.2m，</w:t>
            </w:r>
          </w:p>
        </w:tc>
        <w:tc>
          <w:tcPr>
            <w:tcW w:w="797"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座</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Merge w:val="continue"/>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预埋塑料检查井</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5</w:t>
            </w:r>
          </w:p>
        </w:tc>
        <w:tc>
          <w:tcPr>
            <w:tcW w:w="1665"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井筒直径700mm以内</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座</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Align w:val="center"/>
          </w:tcPr>
          <w:p>
            <w:pPr>
              <w:pStyle w:val="11"/>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包含：沟槽土方开挖、对接管道、勾缝、自拌混凝土垫层、浇筑混凝土护臂，回填料回填、土方回填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停车位</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410</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植草砖、吸水砖</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3cm厚粗砂垫层、植草砖孔内含种植土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铺装</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1459</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30mm厚花岗岩</w:t>
            </w:r>
          </w:p>
        </w:tc>
        <w:tc>
          <w:tcPr>
            <w:tcW w:w="797"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Merge w:val="restart"/>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30mm厚1:3</w:t>
            </w:r>
            <w:r>
              <w:rPr>
                <w:rFonts w:hint="eastAsia" w:ascii="楷体" w:hAnsi="楷体" w:eastAsia="楷体" w:cs="楷体"/>
                <w:sz w:val="24"/>
                <w:szCs w:val="24"/>
                <w:vertAlign w:val="baseline"/>
                <w:lang w:val="en-US" w:eastAsia="zh-CN"/>
              </w:rPr>
              <w:t>干硬性水泥砂浆，自拌10cm厚C20砼垫层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路缘石铺贴</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420</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600*300*120花岗岩</w:t>
            </w:r>
          </w:p>
        </w:tc>
        <w:tc>
          <w:tcPr>
            <w:tcW w:w="79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Merge w:val="continue"/>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路平石铺贴</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420</w:t>
            </w:r>
          </w:p>
        </w:tc>
        <w:tc>
          <w:tcPr>
            <w:tcW w:w="1665"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600*100*120</w:t>
            </w:r>
          </w:p>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花岗岩</w:t>
            </w:r>
          </w:p>
        </w:tc>
        <w:tc>
          <w:tcPr>
            <w:tcW w:w="797"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Merge w:val="continue"/>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5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台阶铺贴</w:t>
            </w:r>
          </w:p>
        </w:tc>
        <w:tc>
          <w:tcPr>
            <w:tcW w:w="111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21.25</w:t>
            </w:r>
          </w:p>
        </w:tc>
        <w:tc>
          <w:tcPr>
            <w:tcW w:w="166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600*300*100花岗岩</w:t>
            </w:r>
          </w:p>
        </w:tc>
        <w:tc>
          <w:tcPr>
            <w:tcW w:w="797"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w:t>
            </w:r>
          </w:p>
        </w:tc>
        <w:tc>
          <w:tcPr>
            <w:tcW w:w="1035"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13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c>
          <w:tcPr>
            <w:tcW w:w="2940" w:type="dxa"/>
            <w:vMerge w:val="continue"/>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6188" w:type="dxa"/>
            <w:gridSpan w:val="5"/>
            <w:vAlign w:val="center"/>
          </w:tcPr>
          <w:p>
            <w:pPr>
              <w:pStyle w:val="5"/>
              <w:jc w:val="center"/>
              <w:rPr>
                <w:rFonts w:hint="default"/>
                <w:lang w:val="en-US" w:eastAsia="zh-CN"/>
              </w:rPr>
            </w:pPr>
            <w:r>
              <w:rPr>
                <w:rFonts w:hint="eastAsia" w:ascii="楷体" w:hAnsi="楷体" w:eastAsia="楷体" w:cs="楷体"/>
                <w:i w:val="0"/>
                <w:iCs w:val="0"/>
                <w:color w:val="000000"/>
                <w:kern w:val="0"/>
                <w:sz w:val="28"/>
                <w:szCs w:val="28"/>
                <w:u w:val="none"/>
                <w:lang w:val="en-US" w:eastAsia="zh-CN" w:bidi="ar"/>
              </w:rPr>
              <w:t>合计金额：</w:t>
            </w:r>
          </w:p>
        </w:tc>
        <w:tc>
          <w:tcPr>
            <w:tcW w:w="4070" w:type="dxa"/>
            <w:gridSpan w:val="2"/>
            <w:vAlign w:val="center"/>
          </w:tcPr>
          <w:p>
            <w:pPr>
              <w:keepNext w:val="0"/>
              <w:keepLines w:val="0"/>
              <w:widowControl/>
              <w:suppressLineNumbers w:val="0"/>
              <w:jc w:val="center"/>
              <w:textAlignment w:val="center"/>
              <w:rPr>
                <w:rFonts w:hint="default" w:ascii="宋体" w:hAnsi="宋体" w:eastAsia="宋体" w:cs="宋体"/>
                <w:kern w:val="2"/>
                <w:sz w:val="24"/>
                <w:szCs w:val="24"/>
                <w:vertAlign w:val="baseline"/>
                <w:lang w:val="en-US" w:eastAsia="zh-CN" w:bidi="ar-SA"/>
              </w:rPr>
            </w:pPr>
            <w:r>
              <w:rPr>
                <w:rFonts w:hint="eastAsia" w:ascii="楷体" w:hAnsi="楷体" w:eastAsia="楷体" w:cs="楷体"/>
                <w:i w:val="0"/>
                <w:iCs w:val="0"/>
                <w:color w:val="000000"/>
                <w:kern w:val="0"/>
                <w:sz w:val="28"/>
                <w:szCs w:val="40"/>
                <w:u w:val="none"/>
                <w:lang w:val="en-US" w:eastAsia="zh-CN" w:bidi="ar"/>
              </w:rPr>
              <w:t>（含增值税专票）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w:t>
      </w:r>
    </w:p>
    <w:p>
      <w:pPr>
        <w:spacing w:line="480" w:lineRule="exact"/>
        <w:rPr>
          <w:rFonts w:hint="eastAsia" w:ascii="黑体" w:hAnsi="黑体" w:eastAsia="黑体" w:cs="黑体"/>
          <w:bCs/>
          <w:sz w:val="28"/>
          <w:szCs w:val="28"/>
          <w:lang w:val="en-US" w:eastAsia="zh-CN"/>
        </w:rPr>
      </w:pPr>
    </w:p>
    <w:p>
      <w:pPr>
        <w:pStyle w:val="5"/>
        <w:ind w:left="0" w:leftChars="0" w:firstLine="0" w:firstLineChars="0"/>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pStyle w:val="2"/>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1501908"/>
    <w:rsid w:val="017F23E3"/>
    <w:rsid w:val="01BB7833"/>
    <w:rsid w:val="01F44DDE"/>
    <w:rsid w:val="052F29B4"/>
    <w:rsid w:val="05FC1336"/>
    <w:rsid w:val="07E75082"/>
    <w:rsid w:val="087710DF"/>
    <w:rsid w:val="08C52F3A"/>
    <w:rsid w:val="0A701785"/>
    <w:rsid w:val="0B6F55A6"/>
    <w:rsid w:val="0D316F93"/>
    <w:rsid w:val="0E46525B"/>
    <w:rsid w:val="11E931F7"/>
    <w:rsid w:val="181F019F"/>
    <w:rsid w:val="18C630DC"/>
    <w:rsid w:val="1D550C0E"/>
    <w:rsid w:val="1DA13FB7"/>
    <w:rsid w:val="207104EF"/>
    <w:rsid w:val="21A84DD5"/>
    <w:rsid w:val="2338088B"/>
    <w:rsid w:val="242A7524"/>
    <w:rsid w:val="24D33A69"/>
    <w:rsid w:val="26B17245"/>
    <w:rsid w:val="26C323AA"/>
    <w:rsid w:val="28084AD4"/>
    <w:rsid w:val="28F46694"/>
    <w:rsid w:val="2D6F4221"/>
    <w:rsid w:val="2FCF51D6"/>
    <w:rsid w:val="31B7693E"/>
    <w:rsid w:val="329B4E81"/>
    <w:rsid w:val="34967B67"/>
    <w:rsid w:val="355114B6"/>
    <w:rsid w:val="35B9285B"/>
    <w:rsid w:val="374C12C3"/>
    <w:rsid w:val="37635B07"/>
    <w:rsid w:val="3A582007"/>
    <w:rsid w:val="3B1F3144"/>
    <w:rsid w:val="3D9335F9"/>
    <w:rsid w:val="3F98152E"/>
    <w:rsid w:val="412072BE"/>
    <w:rsid w:val="427621E8"/>
    <w:rsid w:val="441A414F"/>
    <w:rsid w:val="45AC7876"/>
    <w:rsid w:val="47237853"/>
    <w:rsid w:val="479C6193"/>
    <w:rsid w:val="4BD73F9D"/>
    <w:rsid w:val="4CE405DF"/>
    <w:rsid w:val="4D902178"/>
    <w:rsid w:val="4E2A4E82"/>
    <w:rsid w:val="4E2D29F8"/>
    <w:rsid w:val="506759EB"/>
    <w:rsid w:val="51BC3509"/>
    <w:rsid w:val="5B6718A2"/>
    <w:rsid w:val="5C9F2CFB"/>
    <w:rsid w:val="5D363C4D"/>
    <w:rsid w:val="5D613E0C"/>
    <w:rsid w:val="5E190F3A"/>
    <w:rsid w:val="5FB967DC"/>
    <w:rsid w:val="6038664F"/>
    <w:rsid w:val="631C253B"/>
    <w:rsid w:val="67442501"/>
    <w:rsid w:val="68A576BD"/>
    <w:rsid w:val="6B7B2FD8"/>
    <w:rsid w:val="6E275208"/>
    <w:rsid w:val="6E532A8D"/>
    <w:rsid w:val="71EF701C"/>
    <w:rsid w:val="735D3AA8"/>
    <w:rsid w:val="76257DC8"/>
    <w:rsid w:val="76A60A20"/>
    <w:rsid w:val="76C715AC"/>
    <w:rsid w:val="76DF57AD"/>
    <w:rsid w:val="784309DA"/>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rPr>
      <w:rFonts w:eastAsia="宋体" w:cs="Times New Roman"/>
      <w:sz w:val="21"/>
    </w:rPr>
  </w:style>
  <w:style w:type="paragraph" w:styleId="3">
    <w:name w:val="Normal Indent"/>
    <w:basedOn w:val="1"/>
    <w:qFormat/>
    <w:uiPriority w:val="0"/>
    <w:pPr>
      <w:ind w:firstLine="420" w:firstLineChars="200"/>
    </w:pPr>
    <w:rPr>
      <w:rFonts w:ascii="Calibri" w:hAnsi="Calibri" w:eastAsia="仿宋"/>
      <w:sz w:val="32"/>
    </w:rPr>
  </w:style>
  <w:style w:type="paragraph" w:styleId="5">
    <w:name w:val="Body Text First Indent 2"/>
    <w:basedOn w:val="2"/>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 w:type="paragraph" w:customStyle="1" w:styleId="11">
    <w:name w:val="Body Text Indent"/>
    <w:basedOn w:val="1"/>
    <w:next w:val="12"/>
    <w:qFormat/>
    <w:uiPriority w:val="0"/>
    <w:pPr>
      <w:spacing w:after="120" w:afterLines="0"/>
      <w:ind w:left="420" w:leftChars="200"/>
    </w:pPr>
    <w:rPr>
      <w:rFonts w:eastAsia="宋体" w:cs="Times New Roman"/>
      <w:sz w:val="21"/>
    </w:rPr>
  </w:style>
  <w:style w:type="paragraph" w:customStyle="1" w:styleId="12">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4116</Words>
  <Characters>4559</Characters>
  <Lines>0</Lines>
  <Paragraphs>0</Paragraphs>
  <TotalTime>0</TotalTime>
  <ScaleCrop>false</ScaleCrop>
  <LinksUpToDate>false</LinksUpToDate>
  <CharactersWithSpaces>4679</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2022-08-26T02:52:00Z</cp:lastPrinted>
  <dcterms:modified xsi:type="dcterms:W3CDTF">2022-08-26T07:41:47Z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1218ADAC6FA24DC09CCD523FF254CC45</vt:lpwstr>
  </property>
</Properties>
</file>