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物流商贸中心主体招标工程项目招标函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物流商贸中心主体工程项目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会昌县麻州镇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主体工程施工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2022年8月29日至2022年9月2日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按每月上报合格工程量的80%支付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（物流中心负责人）           吴工 18942378481</w:t>
            </w:r>
            <w:bookmarkStart w:id="2" w:name="_GoBack"/>
            <w:bookmarkEnd w:id="2"/>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需要图纸及勘察项目现场请联系技术负责人或项目经理，报名需联系招标联系人，并提供报名资料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2022年9月2号下午15:00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5）参加主体工程活动前三年内，在经营活动中没有重大违法记录。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（1）供应商须是中华人民共和国境内注册有合法经营资格的国内独立法人，具有合格的营业执照和独立订立合同的能力。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（2）供应商须具备建设行政主管部门核发的建筑工程劳务施工资质;具有有效的安全生产许可证。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（3）供应商须具备专业的团队。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（4）提供近三年来100万及以上房建业绩。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伍</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val="en-US" w:eastAsia="zh-CN"/>
        </w:rPr>
        <w:t>,中标供应商的投标保证金转为履约保证金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default"/>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0" w:firstLineChars="100"/>
        <w:rPr>
          <w:rFonts w:hint="eastAsia" w:ascii="仿宋_GB2312" w:eastAsia="仿宋_GB2312"/>
          <w:sz w:val="32"/>
          <w:szCs w:val="32"/>
          <w:lang w:eastAsia="zh-CN"/>
        </w:rPr>
      </w:pPr>
      <w:r>
        <w:rPr>
          <w:rFonts w:hint="eastAsia" w:ascii="仿宋_GB2312" w:hAnsi="仿宋_GB2312" w:eastAsia="仿宋_GB2312" w:cs="仿宋_GB2312"/>
          <w:sz w:val="32"/>
          <w:szCs w:val="32"/>
          <w:lang w:val="en-US" w:eastAsia="zh-CN"/>
        </w:rPr>
        <w:t xml:space="preserve">4.1 </w:t>
      </w:r>
      <w:r>
        <w:rPr>
          <w:rFonts w:hint="eastAsia" w:ascii="仿宋_GB2312" w:eastAsia="仿宋_GB2312"/>
          <w:sz w:val="32"/>
          <w:szCs w:val="32"/>
        </w:rPr>
        <w:t>承包内容</w:t>
      </w:r>
      <w:r>
        <w:rPr>
          <w:rFonts w:hint="eastAsia" w:ascii="仿宋_GB2312" w:eastAsia="仿宋_GB2312"/>
          <w:sz w:val="32"/>
          <w:szCs w:val="32"/>
          <w:lang w:eastAsia="zh-CN"/>
        </w:rPr>
        <w:t>：</w:t>
      </w:r>
    </w:p>
    <w:p>
      <w:pPr>
        <w:spacing w:line="360" w:lineRule="auto"/>
        <w:ind w:firstLine="640" w:firstLineChars="200"/>
        <w:rPr>
          <w:rFonts w:hint="eastAsia" w:ascii="仿宋_GB2312" w:hAnsi="宋体" w:eastAsia="仿宋_GB2312"/>
          <w:sz w:val="32"/>
          <w:szCs w:val="32"/>
        </w:rPr>
      </w:pPr>
      <w:r>
        <w:rPr>
          <w:rFonts w:hint="eastAsia" w:ascii="仿宋_GB2312" w:hAnsi="宋体" w:eastAsia="仿宋_GB2312"/>
          <w:sz w:val="32"/>
          <w:szCs w:val="32"/>
        </w:rPr>
        <w:t>基础承台（含部分筏板基础）至屋顶的所有施工图纸（除水电、消防、钢结构、电梯）主体工程内容。即砼搅拌（一次使用商砼不足一车的）、泵送、浇捣、模板制作安装、钢筋制作安装、钢筋焊接、内外墙砌筑、内外墙打底、地面平整、垫层浇捣、明沟散水或集水井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工程:钢筋的加工、翻样、制作；钢筋的浮锈清除；钢筋的调直切割、绑扎；钢筋定位措施中所需的梯子筋、定位筋的制作、安装、焊接；墙柱固定钢筋的焊接；钢筋的闪光对焊、搭结焊；柱、暗柱、墙的电渣压力焊；钢筋的吊运、成品及半成品的场内运载（指必要时的人工装卸)；进场钢筋卸货时的配合等操作全过程；钢筋废料的装运及钢筋原料、废料、成品半成品堆放归类整齐;钢筋堆放料场的看护、试验取样、电渣压力焊等与钢筋有关的所有配套工作；预埋件的制安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模板工程：按甲方的要求进行放样，模板的制作、安装、拆除倒运、清理、检修、大小钢模板的除锈及砼清理、打磨刷隔离剂、全部工程所需的预埋铁件制作安装(电梯预埋件只负责安装)、止水对拉螺杆制作、建筑与结构图预留洞的留置、模板拆除,包括空调洞、烟道、排气道及建筑和结施里反映的过墙预留盒。模板穿墙洞的封堵。场地模板堆放应归类整齐并符合项目部及文明工地验收要求。主体施工时由甲方负责纵横边大轴线，标高的引测、楼层的控制线，其余测量、放线（墙柱定位线、控制线），抄平等全部操作过程由乙方负责完成，报甲方验收复核。后浇带与施工缝的留置及留置所需材料。</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混凝土工程：混凝土采用</w:t>
      </w:r>
      <w:r>
        <w:rPr>
          <w:rFonts w:hint="eastAsia" w:ascii="仿宋_GB2312" w:hAnsi="Times New Roman" w:eastAsia="仿宋_GB2312" w:cs="Times New Roman"/>
          <w:sz w:val="32"/>
          <w:szCs w:val="32"/>
        </w:rPr>
        <w:t>商品混凝土，运输通道、溜槽、泵管的固定架搭设，垫层及以上基础、5层以下主体混凝土为泵车输送（当车泵无法满足时使用地泵输送），5层以上主体混凝土为地泵输送，</w:t>
      </w:r>
      <w:r>
        <w:rPr>
          <w:rFonts w:hint="eastAsia" w:ascii="仿宋_GB2312" w:eastAsia="仿宋_GB2312"/>
          <w:sz w:val="32"/>
          <w:szCs w:val="32"/>
        </w:rPr>
        <w:t>布料杆及塔吊配合，包括泵管的安拆装运、疏通、清理及混凝土的浇筑、泵车卸料、振捣人工养护及混凝土缺陷修补（需经甲方同意后方可进行砼缺陷修补)落地灰清理装运等全部工程。后浇带混凝土的浇筑工作.</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砌体工程：砌体分项（包括选砖、水泥木砖预制、种植拉结筋、砌体勾缝和排档补洞、7寸砖切割等，协助施工员放样测标高塔饼、找平、立皮数杆、窗台找平、砌斜砖、管道井、顶皮异形块预制），砼浇捣分项（包括预制安装构主要梁板柱、构造柱、阳台栏板、二次浇灌构件、厨卫导墙、翻口窗）、砼缺陷修补、同砼表面平的预埋铁设置、模板底部堵缝、柱墙脚残砼凿除、浇砼后外墙清理（冲洗）、外架上垃圾清理、钢筋上砼残渣清理以及于混凝土有关清理等、砼保养、屋面工程（包括女儿墙、屋面顶部混凝土构件）</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架子工程：包括主体施工所用架体的搭设、拆除和施工过程中的临时用架、临时通道、安全通道、安全防护栏杆、必要临设的安全防护、防高空坠物的挑架、</w:t>
      </w:r>
      <w:r>
        <w:rPr>
          <w:rFonts w:hint="eastAsia" w:ascii="仿宋_GB2312" w:eastAsia="仿宋_GB2312"/>
          <w:color w:val="000000" w:themeColor="text1"/>
          <w:sz w:val="32"/>
          <w:szCs w:val="32"/>
          <w14:textFill>
            <w14:solidFill>
              <w14:schemeClr w14:val="tx1"/>
            </w14:solidFill>
          </w14:textFill>
        </w:rPr>
        <w:t>附墙电梯、泵车搅拌机防护棚、钢筋棚、木工棚的搭设、拆除工作；场内材料运输、检修、搭设安全网、铺脚手架、安全挡板、</w:t>
      </w:r>
      <w:r>
        <w:rPr>
          <w:rFonts w:hint="eastAsia" w:ascii="仿宋_GB2312" w:eastAsia="仿宋_GB2312"/>
          <w:sz w:val="32"/>
          <w:szCs w:val="32"/>
        </w:rPr>
        <w:t>洞口防护、出入口防护、塔吊上人操作平台(设置三道)、条幅标志张挂、卸料平台的提升安装拆除等全部操作过程，钢管的刷漆、挡板的花纹漆等所有操作过程。</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施工用机械的就位、布料机（杆）、搅拌机的操作、安装、保养、维护。</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施工现场所有主体使用的钢筋原材、半成品、成品、模板、方木、大钢模、钢管、扣件等材料进出场的装卸、现场倒运、堆放保管（包括所有材料场内装卸、现场倒运）.</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钢筋原材、闪光对焊试件、电渣压力焊试件、套筒连接试件的取样、制作。</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乙方承包范围包含：人工、辅助材料、小型机具、各种低值易耗品。</w:t>
      </w:r>
    </w:p>
    <w:p>
      <w:pPr>
        <w:spacing w:line="360" w:lineRule="auto"/>
        <w:ind w:firstLine="480" w:firstLineChars="150"/>
        <w:rPr>
          <w:rFonts w:hint="eastAsia" w:ascii="仿宋_GB2312" w:eastAsia="仿宋_GB2312"/>
          <w:color w:val="FF0000"/>
          <w:sz w:val="32"/>
          <w:szCs w:val="32"/>
          <w:lang w:eastAsia="zh-CN"/>
        </w:rPr>
      </w:pPr>
      <w:r>
        <w:rPr>
          <w:rFonts w:hint="eastAsia" w:ascii="仿宋_GB2312" w:eastAsia="仿宋_GB2312"/>
          <w:sz w:val="32"/>
          <w:szCs w:val="32"/>
        </w:rPr>
        <w:t>（1）辅助材料包括:钢筋扎丝、焊条、焊剂、预埋铁件、铁丝、钢板网、钉子、线绳、空压管、手电锯片、圆盘锯片、钢筋保护层塑料垫块、膨胀螺栓、花篮螺栓、彩条布、塑料布、手推车内外胎及辐条、尼龙线、氧气、乙炔、振捣棒、筛子、砂轮片、钻头、脱模剂、养护剂、磨光片、云石片、止水条（片）、穿墙PVC管（不含空调洞所用PVC管）、地下室、阳台栏板、塔楼、女儿墙穿墙拉杆（料费、加工费）及螺母、模板接缝胶带、钢大模板隔离油、绝缘手套、绝缘胶鞋、混凝土养护覆盖材料、冬季保温材料</w:t>
      </w:r>
      <w:r>
        <w:rPr>
          <w:rFonts w:hint="eastAsia" w:ascii="仿宋_GB2312" w:eastAsia="仿宋_GB2312"/>
          <w:sz w:val="32"/>
          <w:szCs w:val="32"/>
          <w:lang w:eastAsia="zh-CN"/>
        </w:rPr>
        <w:t>。</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施工中、小型机具包括：钢筋切断机、弯曲机、调直机、对焊机、电渣压力焊、电锯、压刨、砂浆搅拌机、手动电锯、倒链、砂轮切割机、磨光机、云石机、电焊机、打夯机、风泵、空压机、空压管、振捣器、滑轮、焊把线、墨斗、对讲机、炊具、胶皮堵、剥线钳、手电刨、手电钻、錾子、凿子、电焊钳及铜接头、手钳、皮尺、角尺、钢卷尺、铁锉、圆锉、扁锉、割刀、丝锥、丝锥架、斧子、撬棍、钢筋钩子、割枪、焊枪、三级配电箱以下电源及手提电闸、风镐及配件、风管、氧气乙炔表等手动工具和电动工具及其中小型机具保养、维护、维修、大修、更换.乙方提供的中小型机械应提供生产合格证原件，现净值，其性能、数量应满足工程进度、质量。</w:t>
      </w:r>
    </w:p>
    <w:p>
      <w:pPr>
        <w:spacing w:line="360" w:lineRule="auto"/>
        <w:ind w:firstLine="320" w:firstLineChars="100"/>
        <w:rPr>
          <w:rFonts w:hint="eastAsia" w:ascii="仿宋_GB2312" w:eastAsia="仿宋_GB2312"/>
          <w:sz w:val="32"/>
          <w:szCs w:val="32"/>
        </w:rPr>
      </w:pPr>
      <w:r>
        <w:rPr>
          <w:rFonts w:hint="eastAsia" w:ascii="仿宋_GB2312" w:eastAsia="仿宋_GB2312"/>
          <w:sz w:val="32"/>
          <w:szCs w:val="32"/>
        </w:rPr>
        <w:t>（3)各种低值易耗品：小五金类、铁锹、锄头、搞头、断线钳、扳手、改锥、克丝钳、靠尺、灰斗、抹子、瓦刀、大铲、油灰刀、脱灰板、油漆刷、油漆桶、皮老虎、手动套丝机、水平尺、水平管、线坠、盒尺、刀架、板牙架、锯把、架子车、手推车、手电筒、剪刀、圆规、木锉、打气筒、电钻、等所有低值易耗品。</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4.2</w:t>
      </w:r>
      <w:r>
        <w:rPr>
          <w:rFonts w:hint="eastAsia" w:ascii="仿宋_GB2312" w:eastAsia="仿宋_GB2312"/>
          <w:sz w:val="32"/>
          <w:szCs w:val="32"/>
          <w:lang w:eastAsia="zh-CN"/>
        </w:rPr>
        <w:t>施工质量及规范：</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甲方对乙方进行安全技术交底，乙方必须严格按照国家施工规范进行施工，工程质量经过实测实量均要符合质量验评标准，以国家现行质量验评标准评分为依据，实测合格率达到100%。</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b/>
          <w:bCs/>
          <w:sz w:val="32"/>
          <w:szCs w:val="32"/>
          <w:lang w:val="en-US" w:eastAsia="zh-CN"/>
        </w:rPr>
        <w:t>模板工程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1）保证及其支撑有足够的强度、刚度和稳定性，并不至发生不允许的下沉和变形，模板内侧要平整，接缝严密，不得漏浆。</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2）模板安装好后要仔细检查各构件是否牢固，在浇灌混凝土过程中派专人检查，如发现变形、松动等现象，应及时休整牢固。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3）模板及其支架必须保证工程结构和构件各部分形状尺寸和相互位置正确。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4）模板应构造简单，装拆方便，并便于钢筋的绑扎与安装和混凝土的浇灌及养护等工艺要求。</w:t>
      </w:r>
    </w:p>
    <w:p>
      <w:pPr>
        <w:spacing w:line="360" w:lineRule="auto"/>
        <w:ind w:firstLine="320" w:firstLineChars="100"/>
        <w:rPr>
          <w:rFonts w:hint="default" w:ascii="仿宋_GB2312" w:eastAsia="仿宋_GB2312"/>
          <w:sz w:val="32"/>
          <w:szCs w:val="32"/>
          <w:lang w:val="en-US" w:eastAsia="zh-CN"/>
        </w:rPr>
      </w:pPr>
      <w:r>
        <w:rPr>
          <w:rFonts w:hint="eastAsia" w:ascii="仿宋_GB2312" w:eastAsia="仿宋_GB2312"/>
          <w:sz w:val="32"/>
          <w:szCs w:val="32"/>
          <w:lang w:val="en-US" w:eastAsia="zh-CN"/>
        </w:rPr>
        <w:t>5）在浇捣完混凝土后如发生涨模爆模导致梁或柱变形的，应及时修正凿除变形部分，此现象需班组自己负责处理。</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b/>
          <w:bCs/>
          <w:sz w:val="32"/>
          <w:szCs w:val="32"/>
          <w:lang w:val="en-US" w:eastAsia="zh-CN"/>
        </w:rPr>
        <w:t>钢筋工程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1）钢筋绑扎后，应根据设计图纸检查钢筋的钢号、直径、根数、间距、形状是否正确，特别要检查负筋的位置。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2）钢筋表面的油污、铁锈等必须清除干净。</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3）焊接接头尺寸允许偏差必须符合有关规定。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钢筋采用焊接接头时，设置在同一构件内的焊接接头应相互错开，错开距离按设计及规范要求设置，一根钢筋不得有两个接头，有接头的钢筋截面面积占钢筋总截面面积的百分率，在受拉区不宜超过50%，在受压区不限制。</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受力钢筋采用绑扎接头时，接头位置应相互错开。从任一绑扎接头中心至搭接长度的1.3倍区段范围内，有绑扎接头的受力钢筋截面面积占钢筋总截面面积的百分率应符合下列规定：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受拉区不得超过25%，在受压区不得超过50%。</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焊接接头尺寸允许偏差必须符合规范规定。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钢筋接头不宜设置在梁端、柱端的箍筋加密区。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钢筋焊接前，必须根据施工条件进行试焊，合格后方可施焊。焊工必须有焊工合格证，并在规定范围进行焊操作。</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3、</w:t>
      </w:r>
      <w:r>
        <w:rPr>
          <w:rFonts w:hint="default" w:ascii="仿宋_GB2312" w:eastAsia="仿宋_GB2312"/>
          <w:b/>
          <w:bCs/>
          <w:sz w:val="32"/>
          <w:szCs w:val="32"/>
          <w:lang w:eastAsia="zh-CN"/>
        </w:rPr>
        <w:t>泥工浇捣</w:t>
      </w:r>
      <w:r>
        <w:rPr>
          <w:rFonts w:hint="default"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1</w:t>
      </w:r>
      <w:r>
        <w:rPr>
          <w:rFonts w:hint="eastAsia" w:ascii="仿宋_GB2312" w:eastAsia="仿宋_GB2312"/>
          <w:sz w:val="32"/>
          <w:szCs w:val="32"/>
          <w:lang w:val="en-US" w:eastAsia="zh-CN"/>
        </w:rPr>
        <w:t>）浇筑混凝土时，对模板的杂物和钢筋上的油污等应清理干净，对模板的缝隙和孔洞应予堵严。</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2</w:t>
      </w:r>
      <w:r>
        <w:rPr>
          <w:rFonts w:hint="eastAsia" w:ascii="仿宋_GB2312" w:eastAsia="仿宋_GB2312"/>
          <w:sz w:val="32"/>
          <w:szCs w:val="32"/>
          <w:lang w:val="en-US" w:eastAsia="zh-CN"/>
        </w:rPr>
        <w:t>）对以浇筑完毕的混凝土应及时养护。</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3</w:t>
      </w:r>
      <w:r>
        <w:rPr>
          <w:rFonts w:hint="eastAsia" w:ascii="仿宋_GB2312" w:eastAsia="仿宋_GB2312"/>
          <w:sz w:val="32"/>
          <w:szCs w:val="32"/>
          <w:lang w:val="en-US" w:eastAsia="zh-CN"/>
        </w:rPr>
        <w:t>）浇筑混凝土时应连续进行。当必须间歇时，其间歇时间应缩短，并应在前层混凝土凝结前，将次层混凝土浇筑完毕。混凝土运输、浇筑及间歇的全部时间不得超过6个小时。</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4</w:t>
      </w:r>
      <w:r>
        <w:rPr>
          <w:rFonts w:hint="eastAsia" w:ascii="仿宋_GB2312" w:eastAsia="仿宋_GB2312"/>
          <w:sz w:val="32"/>
          <w:szCs w:val="32"/>
          <w:lang w:val="en-US" w:eastAsia="zh-CN"/>
        </w:rPr>
        <w:t>）每一振点的振捣时间应使混凝土表面呈现浮浆和不在沉落。当采用插入式振捣器时，捣实普通混凝土的移动间距不宜大于振捣器作用半径的1.5倍；振捣器与模板的距离，不应大于其作用半径的0.5倍。</w:t>
      </w:r>
    </w:p>
    <w:p>
      <w:pPr>
        <w:spacing w:line="360" w:lineRule="auto"/>
        <w:ind w:firstLine="320" w:firstLineChars="100"/>
        <w:rPr>
          <w:rFonts w:hint="eastAsia" w:ascii="仿宋_GB2312" w:eastAsia="仿宋_GB2312"/>
          <w:sz w:val="32"/>
          <w:szCs w:val="32"/>
          <w:lang w:eastAsia="zh-CN"/>
        </w:rPr>
      </w:pPr>
      <w:r>
        <w:rPr>
          <w:rFonts w:hint="default" w:ascii="仿宋_GB2312" w:eastAsia="仿宋_GB2312"/>
          <w:sz w:val="32"/>
          <w:szCs w:val="32"/>
          <w:lang w:eastAsia="zh-CN"/>
        </w:rPr>
        <w:t>4.</w:t>
      </w:r>
      <w:r>
        <w:rPr>
          <w:rFonts w:hint="eastAsia" w:ascii="仿宋_GB2312" w:eastAsia="仿宋_GB2312"/>
          <w:b/>
          <w:bCs/>
          <w:sz w:val="32"/>
          <w:szCs w:val="32"/>
          <w:lang w:eastAsia="zh-CN"/>
        </w:rPr>
        <w:t>外架班组</w:t>
      </w:r>
      <w:r>
        <w:rPr>
          <w:rFonts w:hint="eastAsia"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1、脚手架四周防护</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脚手架满挂全封闭密目安全网，密目网采用1.8m×6.0m 规格，用网绳绑扎在立杆内侧。作业层安全网应高于平台1.2m。</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2 、结构临边防护措施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沿钢管长度方向涂刷红白间隔的油漆，护身栏杆四周满挂密目安全网；临边四周1m范围内不准堆放材料机具。</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3、楼梯间防护措施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楼梯间的侧边做定型化安全防护，架子立管从梯井内搭设，侧边沿楼梯坡度方向做一道1.2m高的护身栏。</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4、水平兜网</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脚手板沿架体长度方向铺设，应满铺、稳铺和平铺，采用对接接头。钢筋网片脚手板用</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eastAsia="zh-CN"/>
        </w:rPr>
        <w:t>镀锌钢丝与纵向水平杆固定牢固。当架体立杆距墙距离大于150mm，应每层设置水平兜网，每层软封闭。</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4.3施工安全：</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1、乙方按政策规定购买人员相应的保险。</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2、乙方必须严格按照国家安全规范进行施工，做到文明施工，在安全措施没有保证条件下不能进行施工，做到不违章指挥，不违章作业，杜绝安全事故。</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3、在施工中若发生劳务人员伤亡等一切安全事故，甲方一律不负责任，由乙方承担，甲方积极配合处理。</w:t>
      </w:r>
    </w:p>
    <w:p>
      <w:pPr>
        <w:numPr>
          <w:ilvl w:val="0"/>
          <w:numId w:val="0"/>
        </w:numPr>
        <w:jc w:val="left"/>
        <w:rPr>
          <w:rFonts w:hint="eastAsia" w:ascii="仿宋_GB2312" w:hAnsi="仿宋_GB2312" w:eastAsia="仿宋_GB2312" w:cs="仿宋_GB2312"/>
          <w:sz w:val="32"/>
          <w:szCs w:val="32"/>
          <w:lang w:val="en-US" w:eastAsia="zh-CN"/>
        </w:rPr>
      </w:pPr>
    </w:p>
    <w:p>
      <w:pPr>
        <w:spacing w:line="360" w:lineRule="auto"/>
        <w:rPr>
          <w:rFonts w:hint="eastAsia" w:ascii="仿宋_GB2312" w:eastAsia="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253" w:firstLineChars="900"/>
        <w:jc w:val="left"/>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r>
        <w:rPr>
          <w:rFonts w:hint="eastAsia" w:ascii="仿宋_GB2312" w:hAnsi="仿宋_GB2312" w:eastAsia="仿宋_GB2312" w:cs="仿宋_GB2312"/>
          <w:b/>
          <w:bCs/>
          <w:sz w:val="32"/>
          <w:szCs w:val="32"/>
          <w:lang w:val="en-US" w:eastAsia="zh-CN"/>
        </w:rPr>
        <w:t xml:space="preserve">    </w:t>
      </w:r>
    </w:p>
    <w:tbl>
      <w:tblPr>
        <w:tblStyle w:val="7"/>
        <w:tblpPr w:leftFromText="180" w:rightFromText="180" w:vertAnchor="text" w:horzAnchor="page" w:tblpX="1755" w:tblpY="40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6"/>
        <w:gridCol w:w="1335"/>
        <w:gridCol w:w="1500"/>
        <w:gridCol w:w="1380"/>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33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5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控制单价（元）</w:t>
            </w:r>
          </w:p>
        </w:tc>
        <w:tc>
          <w:tcPr>
            <w:tcW w:w="143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泥工班组</w:t>
            </w:r>
          </w:p>
        </w:tc>
        <w:tc>
          <w:tcPr>
            <w:tcW w:w="1335"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2977</w:t>
            </w:r>
          </w:p>
        </w:tc>
        <w:tc>
          <w:tcPr>
            <w:tcW w:w="1500" w:type="dxa"/>
            <w:vMerge w:val="restart"/>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m2</w:t>
            </w:r>
          </w:p>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(按图纸标注的建筑面积计取）</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90</w:t>
            </w:r>
          </w:p>
        </w:tc>
        <w:tc>
          <w:tcPr>
            <w:tcW w:w="1433"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含3%增值税专票，包工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木工</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120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钢筋工</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40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架子工（含内架）</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1" w:type="dxa"/>
            <w:gridSpan w:val="3"/>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325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1" w:type="dxa"/>
            <w:gridSpan w:val="3"/>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总价</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967525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bl>
    <w:p>
      <w:pPr>
        <w:numPr>
          <w:ilvl w:val="0"/>
          <w:numId w:val="0"/>
        </w:numPr>
        <w:ind w:firstLine="2891" w:firstLineChars="900"/>
        <w:jc w:val="left"/>
        <w:rPr>
          <w:rFonts w:hint="eastAsia" w:ascii="仿宋_GB2312" w:eastAsia="仿宋_GB2312"/>
          <w:b/>
          <w:bCs/>
          <w:color w:val="FF0000"/>
          <w:sz w:val="32"/>
          <w:szCs w:val="32"/>
          <w:lang w:val="en-US" w:eastAsia="zh-CN"/>
        </w:rPr>
      </w:pPr>
      <w:r>
        <w:rPr>
          <w:rFonts w:hint="eastAsia" w:ascii="仿宋_GB2312" w:hAnsi="仿宋_GB2312" w:eastAsia="仿宋_GB2312" w:cs="仿宋_GB2312"/>
          <w:b/>
          <w:bCs/>
          <w:sz w:val="32"/>
          <w:szCs w:val="32"/>
          <w:lang w:val="en-US" w:eastAsia="zh-CN"/>
        </w:rPr>
        <w:t xml:space="preserve">                               </w:t>
      </w: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rPr>
          <w:rFonts w:hint="eastAsia" w:ascii="宋体" w:hAnsi="宋体" w:cs="宋体"/>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宋体" w:hAnsi="宋体" w:cs="宋体" w:eastAsiaTheme="minorEastAsia"/>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tbl>
      <w:tblPr>
        <w:tblStyle w:val="7"/>
        <w:tblpPr w:leftFromText="180" w:rightFromText="180" w:vertAnchor="text" w:horzAnchor="page" w:tblpX="1755" w:tblpY="40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4"/>
        <w:gridCol w:w="1623"/>
        <w:gridCol w:w="1440"/>
        <w:gridCol w:w="1275"/>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2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44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控制单价（元）</w:t>
            </w:r>
          </w:p>
        </w:tc>
        <w:tc>
          <w:tcPr>
            <w:tcW w:w="138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泥工班组</w:t>
            </w:r>
          </w:p>
        </w:tc>
        <w:tc>
          <w:tcPr>
            <w:tcW w:w="1623"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2977</w:t>
            </w:r>
          </w:p>
        </w:tc>
        <w:tc>
          <w:tcPr>
            <w:tcW w:w="1440" w:type="dxa"/>
            <w:vMerge w:val="restart"/>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m2</w:t>
            </w:r>
          </w:p>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(按图纸标注的建筑面积计取）</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含3%增值税专票，包工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木工</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钢筋工</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架子工（含内架）</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7" w:type="dxa"/>
            <w:gridSpan w:val="3"/>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7" w:type="dxa"/>
            <w:gridSpan w:val="3"/>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总价</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val="0"/>
          <w:bCs w:val="0"/>
          <w:sz w:val="32"/>
          <w:szCs w:val="32"/>
          <w:lang w:val="en-US" w:eastAsia="zh-CN"/>
        </w:rPr>
        <w:t>二〇二二年    月    日</w:t>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F44DDE"/>
    <w:rsid w:val="05FC1336"/>
    <w:rsid w:val="087710DF"/>
    <w:rsid w:val="08C52F3A"/>
    <w:rsid w:val="093B6831"/>
    <w:rsid w:val="0A701785"/>
    <w:rsid w:val="0B6F55A6"/>
    <w:rsid w:val="0D316F93"/>
    <w:rsid w:val="0E46525B"/>
    <w:rsid w:val="11E931F7"/>
    <w:rsid w:val="181F019F"/>
    <w:rsid w:val="1D550C0E"/>
    <w:rsid w:val="1DA13FB7"/>
    <w:rsid w:val="207104EF"/>
    <w:rsid w:val="21A84DD5"/>
    <w:rsid w:val="227209B1"/>
    <w:rsid w:val="24D33A69"/>
    <w:rsid w:val="26B17245"/>
    <w:rsid w:val="26C323AA"/>
    <w:rsid w:val="28084AD4"/>
    <w:rsid w:val="28F46694"/>
    <w:rsid w:val="2D6F4221"/>
    <w:rsid w:val="2FCF51D6"/>
    <w:rsid w:val="30037D3E"/>
    <w:rsid w:val="31B7693E"/>
    <w:rsid w:val="329B4E81"/>
    <w:rsid w:val="34967B67"/>
    <w:rsid w:val="35B9285B"/>
    <w:rsid w:val="374C12C3"/>
    <w:rsid w:val="37635B07"/>
    <w:rsid w:val="388D2112"/>
    <w:rsid w:val="3A582007"/>
    <w:rsid w:val="3ACD3940"/>
    <w:rsid w:val="3B1F3144"/>
    <w:rsid w:val="3D9335F9"/>
    <w:rsid w:val="3F98152E"/>
    <w:rsid w:val="427621E8"/>
    <w:rsid w:val="441A414F"/>
    <w:rsid w:val="45AC7876"/>
    <w:rsid w:val="4AF87A42"/>
    <w:rsid w:val="4BD73F9D"/>
    <w:rsid w:val="4CE405DF"/>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870E9D"/>
    <w:rsid w:val="76DF57AD"/>
    <w:rsid w:val="786A0221"/>
    <w:rsid w:val="787772FC"/>
    <w:rsid w:val="7C9F0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5064</Words>
  <Characters>5215</Characters>
  <Lines>0</Lines>
  <Paragraphs>0</Paragraphs>
  <TotalTime>4</TotalTime>
  <ScaleCrop>false</ScaleCrop>
  <LinksUpToDate>false</LinksUpToDate>
  <CharactersWithSpaces>5394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2022-07-18T03:55:00Z</cp:lastPrinted>
  <dcterms:modified xsi:type="dcterms:W3CDTF">2022-08-29T01:03:29Z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E0DAB763E0A74B9BB82C4D139AAF9909</vt:lpwstr>
  </property>
</Properties>
</file>