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周田土石方工程项目招标函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江西聚喧建筑工程有限公司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高陂水库水淹路修复工程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会昌县周田镇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土石方工程施工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总工期50天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2022年10月21日至2022年10月24日18点前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出具相关检测报告后半年内付清。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default"/>
                <w:b w:val="0"/>
                <w:bCs w:val="0"/>
                <w:sz w:val="32"/>
                <w:szCs w:val="32"/>
                <w:vertAlign w:val="baseline"/>
                <w:lang w:val="en-US" w:eastAsia="zh-CN"/>
              </w:rPr>
            </w:pPr>
            <w:r>
              <w:rPr>
                <w:rFonts w:hint="eastAsia"/>
                <w:b w:val="0"/>
                <w:bCs w:val="0"/>
                <w:sz w:val="32"/>
                <w:szCs w:val="32"/>
                <w:vertAlign w:val="baseline"/>
                <w:lang w:val="en-US" w:eastAsia="zh-CN"/>
              </w:rPr>
              <w:t>技术负责人：      吴 工  13677078717</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2022年10月25号9时30分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1.3、响应单位必须以公司参与报价，不得以个人响应，本工程需响应单位具备土石方工程的经营范围。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伍</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土方开挖</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根据土质情况及开挖深度设定开挖边坡坡度，以保证安全施工。沟槽开挖采用挖掘机挖方自卸 汽车、翻斗车配合运转。 开挖必须保证边坡符合有关规范及土质要求。 开挖应避免在雨天进行； 开挖的应平整，坡向坡度要符合图纸要求。 当开挖到路床深度时，应随时复核标高避免超挖。若实际发生超挖或发现路床达不到设计要求时，应以碎石、砂砾石、砌片石、或混凝土等材料作为垫层，加固基础处理，不得用原土回填；或通知设计人员现场处理。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土方填筑</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填筑开工前，先进行碾压试验，验证土或砂、砾料的压实质量能否达到设计干密度或设计相对密度。根据试验结果监理机构共同研究确定施工压实参数，包括铺土厚度、含水量的适宜范围、碾压机械类型及重量、压实遍数、压实方法等。如试验时质量达不到设计要求，应会同监理机构和设计单位共同商议解决办法。铺料作业应从最低处开始，按水平层次进行，不得顺坡铺填。铺料时踩层控制在30㎝，土块粒径小于8㎝，测量放样后挂线施工，边线在设计边线外30㎝。作业面应分层统一铺土、统一碾压，严禁出现界沟。并配备人员或平土机具参与整平作业，严禁出现界沟。已铺土料表面被晒干或潮湿时，应进行洒水湿润或翻洒处理。</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填筑时，设立施工标志，以防止漏压、欠压。上下层分段接缝位置错开填筑。机械碾压不到的部位辅以夯具（人工或机械），采用连环套打法夯实，夯迹双向套压，夯迹搭压宽度不小于1/3夯径。</w:t>
      </w:r>
    </w:p>
    <w:p>
      <w:pPr>
        <w:rPr>
          <w:rFonts w:hint="eastAsia" w:ascii="仿宋" w:hAnsi="仿宋" w:eastAsia="仿宋" w:cs="仿宋"/>
          <w:sz w:val="28"/>
          <w:szCs w:val="28"/>
          <w:lang w:eastAsia="zh-CN"/>
        </w:rPr>
      </w:pPr>
      <w:r>
        <w:rPr>
          <w:rFonts w:hint="eastAsia" w:ascii="仿宋" w:hAnsi="仿宋" w:eastAsia="仿宋" w:cs="仿宋"/>
          <w:sz w:val="28"/>
          <w:szCs w:val="28"/>
          <w:lang w:eastAsia="zh-CN"/>
        </w:rPr>
        <w:t>拖拉机振动碾压采用进退错距法，碾迹搭压宽度应大于10㎝，机械车速控制2km/h，以2档为宜，碾压遍数通过现场实验确定。对不合格的部位必须重新碾压直至符合压实度要求为止。</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每一填土层规定的施工压实遍数或类似条件的碾压经验施工完毕后，应经监理机构检查合格后才能继续铺填新土。经验收合格的填筑层因故未继续施工，复工前应进行刨面、洒水处理，并经监理检验合格后才能铺填新土，以使层间结合紧密。</w:t>
      </w:r>
    </w:p>
    <w:p>
      <w:pPr>
        <w:rPr>
          <w:rFonts w:hint="eastAsia" w:ascii="仿宋" w:hAnsi="仿宋" w:eastAsia="仿宋" w:cs="仿宋"/>
          <w:sz w:val="28"/>
          <w:szCs w:val="28"/>
          <w:lang w:eastAsia="zh-CN"/>
        </w:rPr>
      </w:pPr>
      <w:r>
        <w:rPr>
          <w:rFonts w:hint="eastAsia" w:ascii="仿宋" w:hAnsi="仿宋" w:eastAsia="仿宋" w:cs="仿宋"/>
          <w:sz w:val="28"/>
          <w:szCs w:val="28"/>
          <w:lang w:eastAsia="zh-CN"/>
        </w:rPr>
        <w:t>压实土体不应出现干松土、弹簧土、剪切破坏、光面等不良现象。出现不合格时，应进行返工处理，至检查合格后，方准铺填筑新土。</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坡面整修</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开挖与填筑完成后，应做表面压实和整形处理，使其美观有形。</w:t>
      </w:r>
    </w:p>
    <w:p>
      <w:pPr>
        <w:rPr>
          <w:rFonts w:hint="eastAsia" w:ascii="仿宋" w:hAnsi="仿宋" w:eastAsia="仿宋" w:cs="仿宋"/>
          <w:sz w:val="28"/>
          <w:szCs w:val="28"/>
          <w:lang w:val="en-US" w:eastAsia="zh-CN"/>
        </w:rPr>
      </w:pPr>
      <w:r>
        <w:rPr>
          <w:rFonts w:hint="eastAsia" w:ascii="仿宋" w:hAnsi="仿宋" w:eastAsia="仿宋" w:cs="仿宋"/>
          <w:sz w:val="28"/>
          <w:szCs w:val="28"/>
          <w:lang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highlight w:val="none"/>
          <w:lang w:val="en-US" w:eastAsia="zh-CN"/>
        </w:rPr>
      </w:pPr>
      <w:r>
        <w:rPr>
          <w:rFonts w:hint="eastAsia" w:ascii="黑体" w:hAnsi="黑体" w:eastAsia="黑体" w:cs="黑体"/>
          <w:b w:val="0"/>
          <w:bCs/>
          <w:sz w:val="36"/>
          <w:szCs w:val="36"/>
          <w:highlight w:val="none"/>
          <w:lang w:eastAsia="zh-CN"/>
        </w:rPr>
        <w:t>控制价</w:t>
      </w:r>
    </w:p>
    <w:tbl>
      <w:tblPr>
        <w:tblStyle w:val="7"/>
        <w:tblW w:w="9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1077"/>
        <w:gridCol w:w="839"/>
        <w:gridCol w:w="980"/>
        <w:gridCol w:w="1291"/>
        <w:gridCol w:w="3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0"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单价（元）</w:t>
            </w:r>
          </w:p>
        </w:tc>
        <w:tc>
          <w:tcPr>
            <w:tcW w:w="1291"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合计（元）</w:t>
            </w:r>
          </w:p>
        </w:tc>
        <w:tc>
          <w:tcPr>
            <w:tcW w:w="3508"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土方开挖</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54400</w:t>
            </w:r>
          </w:p>
        </w:tc>
        <w:tc>
          <w:tcPr>
            <w:tcW w:w="839" w:type="dxa"/>
            <w:noWrap w:val="0"/>
            <w:vAlign w:val="center"/>
          </w:tcPr>
          <w:p>
            <w:pPr>
              <w:pStyle w:val="3"/>
              <w:ind w:left="0" w:leftChars="0" w:firstLine="0" w:firstLineChars="0"/>
              <w:jc w:val="center"/>
              <w:rPr>
                <w:rFonts w:hint="default"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9</w:t>
            </w: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i w:val="0"/>
                <w:iCs w:val="0"/>
                <w:color w:val="000000"/>
                <w:kern w:val="0"/>
                <w:sz w:val="24"/>
                <w:szCs w:val="24"/>
                <w:highlight w:val="none"/>
                <w:u w:val="none"/>
                <w:lang w:val="en-US" w:eastAsia="zh-CN" w:bidi="ar"/>
              </w:rPr>
              <w:t>489600</w:t>
            </w:r>
          </w:p>
        </w:tc>
        <w:tc>
          <w:tcPr>
            <w:tcW w:w="3508" w:type="dxa"/>
            <w:noWrap w:val="0"/>
            <w:vAlign w:val="center"/>
          </w:tcPr>
          <w:p>
            <w:pPr>
              <w:pStyle w:val="3"/>
              <w:ind w:left="0" w:leftChars="0" w:firstLine="0" w:firstLineChars="0"/>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eastAsia="zh-CN"/>
              </w:rPr>
              <w:t>内运</w:t>
            </w:r>
            <w:r>
              <w:rPr>
                <w:rFonts w:hint="eastAsia" w:ascii="楷体" w:hAnsi="楷体" w:eastAsia="楷体" w:cs="楷体"/>
                <w:sz w:val="24"/>
                <w:szCs w:val="24"/>
                <w:highlight w:val="none"/>
                <w:vertAlign w:val="baseline"/>
                <w:lang w:val="en-US" w:eastAsia="zh-CN"/>
              </w:rPr>
              <w:t>1km内,含修边坡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次坚石开挖</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56000</w:t>
            </w:r>
          </w:p>
        </w:tc>
        <w:tc>
          <w:tcPr>
            <w:tcW w:w="839" w:type="dxa"/>
            <w:noWrap w:val="0"/>
            <w:vAlign w:val="center"/>
          </w:tcPr>
          <w:p>
            <w:pPr>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18</w:t>
            </w: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i w:val="0"/>
                <w:iCs w:val="0"/>
                <w:color w:val="000000"/>
                <w:kern w:val="0"/>
                <w:sz w:val="24"/>
                <w:szCs w:val="24"/>
                <w:highlight w:val="none"/>
                <w:u w:val="none"/>
                <w:lang w:val="en-US" w:eastAsia="zh-CN" w:bidi="ar"/>
              </w:rPr>
              <w:t>1008000</w:t>
            </w:r>
          </w:p>
        </w:tc>
        <w:tc>
          <w:tcPr>
            <w:tcW w:w="3508"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内运1km内,含修边坡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坚石开挖</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12000</w:t>
            </w:r>
          </w:p>
        </w:tc>
        <w:tc>
          <w:tcPr>
            <w:tcW w:w="839" w:type="dxa"/>
            <w:noWrap w:val="0"/>
            <w:vAlign w:val="center"/>
          </w:tcPr>
          <w:p>
            <w:pPr>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21</w:t>
            </w: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i w:val="0"/>
                <w:iCs w:val="0"/>
                <w:color w:val="000000"/>
                <w:kern w:val="0"/>
                <w:sz w:val="24"/>
                <w:szCs w:val="24"/>
                <w:highlight w:val="none"/>
                <w:u w:val="none"/>
                <w:lang w:val="en-US" w:eastAsia="zh-CN" w:bidi="ar"/>
              </w:rPr>
              <w:t>252000</w:t>
            </w:r>
          </w:p>
        </w:tc>
        <w:tc>
          <w:tcPr>
            <w:tcW w:w="3508"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内运1km内,含修边坡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路基填筑</w:t>
            </w:r>
          </w:p>
        </w:tc>
        <w:tc>
          <w:tcPr>
            <w:tcW w:w="1077"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100000</w:t>
            </w:r>
          </w:p>
        </w:tc>
        <w:tc>
          <w:tcPr>
            <w:tcW w:w="839" w:type="dxa"/>
            <w:noWrap w:val="0"/>
            <w:vAlign w:val="center"/>
          </w:tcPr>
          <w:p>
            <w:pPr>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4</w:t>
            </w:r>
          </w:p>
        </w:tc>
        <w:tc>
          <w:tcPr>
            <w:tcW w:w="1291"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i w:val="0"/>
                <w:iCs w:val="0"/>
                <w:color w:val="000000"/>
                <w:kern w:val="0"/>
                <w:sz w:val="24"/>
                <w:szCs w:val="24"/>
                <w:highlight w:val="none"/>
                <w:u w:val="none"/>
                <w:lang w:val="en-US" w:eastAsia="zh-CN" w:bidi="ar"/>
              </w:rPr>
              <w:t>400000</w:t>
            </w:r>
          </w:p>
        </w:tc>
        <w:tc>
          <w:tcPr>
            <w:tcW w:w="3508"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分层填筑，碾压夯实，出具分层</w:t>
            </w:r>
            <w:bookmarkStart w:id="1" w:name="_GoBack"/>
            <w:bookmarkEnd w:id="1"/>
            <w:r>
              <w:rPr>
                <w:rFonts w:hint="eastAsia" w:ascii="楷体" w:hAnsi="楷体" w:eastAsia="楷体" w:cs="楷体"/>
                <w:sz w:val="24"/>
                <w:szCs w:val="24"/>
                <w:highlight w:val="none"/>
                <w:vertAlign w:val="baseline"/>
                <w:lang w:val="en-US" w:eastAsia="zh-CN"/>
              </w:rPr>
              <w:t>压实度报告。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946" w:type="dxa"/>
            <w:gridSpan w:val="4"/>
            <w:noWrap w:val="0"/>
            <w:vAlign w:val="center"/>
          </w:tcPr>
          <w:p>
            <w:pPr>
              <w:pStyle w:val="11"/>
              <w:ind w:left="0" w:leftChars="0" w:firstLine="0" w:firstLineChars="0"/>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val="en-US" w:eastAsia="zh-CN"/>
              </w:rPr>
              <w:t>总计</w:t>
            </w: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sz w:val="24"/>
                <w:szCs w:val="24"/>
                <w:highlight w:val="none"/>
                <w:vertAlign w:val="baseline"/>
                <w:lang w:val="en-US" w:eastAsia="zh-CN"/>
              </w:rPr>
            </w:pPr>
            <w:r>
              <w:rPr>
                <w:rFonts w:hint="eastAsia" w:ascii="宋体" w:hAnsi="宋体" w:eastAsia="宋体" w:cs="宋体"/>
                <w:i w:val="0"/>
                <w:iCs w:val="0"/>
                <w:color w:val="000000"/>
                <w:kern w:val="0"/>
                <w:sz w:val="22"/>
                <w:szCs w:val="22"/>
                <w:highlight w:val="none"/>
                <w:u w:val="none"/>
                <w:lang w:val="en-US" w:eastAsia="zh-CN" w:bidi="ar"/>
              </w:rPr>
              <w:t>2149600</w:t>
            </w:r>
          </w:p>
        </w:tc>
        <w:tc>
          <w:tcPr>
            <w:tcW w:w="3508" w:type="dxa"/>
            <w:noWrap w:val="0"/>
            <w:vAlign w:val="center"/>
          </w:tcPr>
          <w:p>
            <w:pPr>
              <w:pStyle w:val="3"/>
              <w:ind w:left="0" w:leftChars="0" w:firstLine="0" w:firstLineChars="0"/>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1077"/>
        <w:gridCol w:w="839"/>
        <w:gridCol w:w="980"/>
        <w:gridCol w:w="1291"/>
        <w:gridCol w:w="3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0"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单价（元）</w:t>
            </w:r>
          </w:p>
        </w:tc>
        <w:tc>
          <w:tcPr>
            <w:tcW w:w="1291"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合计（元）</w:t>
            </w:r>
          </w:p>
        </w:tc>
        <w:tc>
          <w:tcPr>
            <w:tcW w:w="3390" w:type="dxa"/>
            <w:noWrap w:val="0"/>
            <w:vAlign w:val="center"/>
          </w:tcPr>
          <w:p>
            <w:pPr>
              <w:pStyle w:val="3"/>
              <w:ind w:left="0" w:leftChars="0" w:firstLine="0" w:firstLineChars="0"/>
              <w:jc w:val="center"/>
              <w:rPr>
                <w:rFonts w:hint="eastAsia" w:ascii="楷体" w:hAnsi="楷体" w:eastAsia="楷体" w:cs="楷体"/>
                <w:sz w:val="28"/>
                <w:szCs w:val="28"/>
                <w:highlight w:val="none"/>
                <w:vertAlign w:val="baseline"/>
                <w:lang w:eastAsia="zh-CN"/>
              </w:rPr>
            </w:pPr>
            <w:r>
              <w:rPr>
                <w:rFonts w:hint="eastAsia" w:ascii="楷体" w:hAnsi="楷体" w:eastAsia="楷体" w:cs="楷体"/>
                <w:sz w:val="28"/>
                <w:szCs w:val="28"/>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土方开挖</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54400</w:t>
            </w:r>
          </w:p>
        </w:tc>
        <w:tc>
          <w:tcPr>
            <w:tcW w:w="839" w:type="dxa"/>
            <w:noWrap w:val="0"/>
            <w:vAlign w:val="center"/>
          </w:tcPr>
          <w:p>
            <w:pPr>
              <w:pStyle w:val="3"/>
              <w:ind w:left="0" w:leftChars="0" w:firstLine="0" w:firstLineChars="0"/>
              <w:jc w:val="center"/>
              <w:rPr>
                <w:rFonts w:hint="default"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highlight w:val="none"/>
                <w:vertAlign w:val="baseline"/>
                <w:lang w:val="en-US" w:eastAsia="zh-CN" w:bidi="ar-SA"/>
              </w:rPr>
            </w:pP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highlight w:val="none"/>
                <w:vertAlign w:val="baseline"/>
                <w:lang w:val="en-US" w:eastAsia="zh-CN" w:bidi="ar-SA"/>
              </w:rPr>
            </w:pPr>
          </w:p>
        </w:tc>
        <w:tc>
          <w:tcPr>
            <w:tcW w:w="3390" w:type="dxa"/>
            <w:noWrap w:val="0"/>
            <w:vAlign w:val="center"/>
          </w:tcPr>
          <w:p>
            <w:pPr>
              <w:pStyle w:val="3"/>
              <w:ind w:left="0" w:leftChars="0" w:firstLine="0" w:firstLineChars="0"/>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eastAsia="zh-CN"/>
              </w:rPr>
              <w:t>内运</w:t>
            </w:r>
            <w:r>
              <w:rPr>
                <w:rFonts w:hint="eastAsia" w:ascii="楷体" w:hAnsi="楷体" w:eastAsia="楷体" w:cs="楷体"/>
                <w:sz w:val="24"/>
                <w:szCs w:val="24"/>
                <w:highlight w:val="none"/>
                <w:vertAlign w:val="baseline"/>
                <w:lang w:val="en-US" w:eastAsia="zh-CN"/>
              </w:rPr>
              <w:t>1km内,含修边坡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次坚石开挖</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56000</w:t>
            </w:r>
          </w:p>
        </w:tc>
        <w:tc>
          <w:tcPr>
            <w:tcW w:w="839" w:type="dxa"/>
            <w:noWrap w:val="0"/>
            <w:vAlign w:val="center"/>
          </w:tcPr>
          <w:p>
            <w:pPr>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highlight w:val="none"/>
                <w:vertAlign w:val="baseline"/>
                <w:lang w:val="en-US" w:eastAsia="zh-CN" w:bidi="ar-SA"/>
              </w:rPr>
            </w:pP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highlight w:val="none"/>
                <w:vertAlign w:val="baseline"/>
                <w:lang w:val="en-US" w:eastAsia="zh-CN" w:bidi="ar-SA"/>
              </w:rPr>
            </w:pPr>
          </w:p>
        </w:tc>
        <w:tc>
          <w:tcPr>
            <w:tcW w:w="339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内运1km内,含修边坡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坚石开挖</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12000</w:t>
            </w:r>
          </w:p>
        </w:tc>
        <w:tc>
          <w:tcPr>
            <w:tcW w:w="839" w:type="dxa"/>
            <w:noWrap w:val="0"/>
            <w:vAlign w:val="center"/>
          </w:tcPr>
          <w:p>
            <w:pPr>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highlight w:val="none"/>
                <w:vertAlign w:val="baseline"/>
                <w:lang w:val="en-US" w:eastAsia="zh-CN" w:bidi="ar-SA"/>
              </w:rPr>
            </w:pP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highlight w:val="none"/>
                <w:vertAlign w:val="baseline"/>
                <w:lang w:val="en-US" w:eastAsia="zh-CN" w:bidi="ar-SA"/>
              </w:rPr>
            </w:pPr>
          </w:p>
        </w:tc>
        <w:tc>
          <w:tcPr>
            <w:tcW w:w="3390" w:type="dxa"/>
            <w:noWrap w:val="0"/>
            <w:vAlign w:val="center"/>
          </w:tcPr>
          <w:p>
            <w:pPr>
              <w:pStyle w:val="3"/>
              <w:ind w:left="0" w:leftChars="0" w:firstLine="0" w:firstLineChars="0"/>
              <w:jc w:val="center"/>
              <w:rPr>
                <w:rFonts w:hint="default"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内运1km内,含修边坡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5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kern w:val="2"/>
                <w:sz w:val="24"/>
                <w:szCs w:val="24"/>
                <w:highlight w:val="none"/>
                <w:vertAlign w:val="baseline"/>
                <w:lang w:val="en-US" w:eastAsia="zh-CN" w:bidi="ar-SA"/>
              </w:rPr>
              <w:t>路基填筑</w:t>
            </w:r>
          </w:p>
        </w:tc>
        <w:tc>
          <w:tcPr>
            <w:tcW w:w="1077"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100000</w:t>
            </w:r>
          </w:p>
        </w:tc>
        <w:tc>
          <w:tcPr>
            <w:tcW w:w="839" w:type="dxa"/>
            <w:noWrap w:val="0"/>
            <w:vAlign w:val="center"/>
          </w:tcPr>
          <w:p>
            <w:pPr>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m3</w:t>
            </w:r>
          </w:p>
        </w:tc>
        <w:tc>
          <w:tcPr>
            <w:tcW w:w="980" w:type="dxa"/>
            <w:noWrap w:val="0"/>
            <w:vAlign w:val="center"/>
          </w:tcPr>
          <w:p>
            <w:pPr>
              <w:pStyle w:val="11"/>
              <w:ind w:left="0" w:leftChars="0" w:firstLine="0" w:firstLineChars="0"/>
              <w:jc w:val="both"/>
              <w:rPr>
                <w:rFonts w:hint="eastAsia" w:ascii="楷体" w:hAnsi="楷体" w:eastAsia="楷体" w:cs="楷体"/>
                <w:kern w:val="2"/>
                <w:sz w:val="24"/>
                <w:szCs w:val="24"/>
                <w:highlight w:val="none"/>
                <w:vertAlign w:val="baseline"/>
                <w:lang w:val="en-US" w:eastAsia="zh-CN" w:bidi="ar-SA"/>
              </w:rPr>
            </w:pPr>
          </w:p>
        </w:tc>
        <w:tc>
          <w:tcPr>
            <w:tcW w:w="1291"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highlight w:val="none"/>
                <w:vertAlign w:val="baseline"/>
                <w:lang w:val="en-US" w:eastAsia="zh-CN" w:bidi="ar-SA"/>
              </w:rPr>
            </w:pPr>
          </w:p>
        </w:tc>
        <w:tc>
          <w:tcPr>
            <w:tcW w:w="3390" w:type="dxa"/>
            <w:noWrap w:val="0"/>
            <w:vAlign w:val="center"/>
          </w:tcPr>
          <w:p>
            <w:pPr>
              <w:pStyle w:val="3"/>
              <w:ind w:left="0" w:leftChars="0" w:firstLine="0" w:firstLineChars="0"/>
              <w:jc w:val="center"/>
              <w:rPr>
                <w:rFonts w:hint="eastAsia" w:ascii="楷体" w:hAnsi="楷体" w:eastAsia="楷体" w:cs="楷体"/>
                <w:kern w:val="2"/>
                <w:sz w:val="24"/>
                <w:szCs w:val="24"/>
                <w:highlight w:val="none"/>
                <w:vertAlign w:val="baseline"/>
                <w:lang w:val="en-US" w:eastAsia="zh-CN" w:bidi="ar-SA"/>
              </w:rPr>
            </w:pPr>
            <w:r>
              <w:rPr>
                <w:rFonts w:hint="eastAsia" w:ascii="楷体" w:hAnsi="楷体" w:eastAsia="楷体" w:cs="楷体"/>
                <w:sz w:val="24"/>
                <w:szCs w:val="24"/>
                <w:highlight w:val="none"/>
                <w:vertAlign w:val="baseline"/>
                <w:lang w:val="en-US" w:eastAsia="zh-CN"/>
              </w:rPr>
              <w:t>分层填筑，碾压夯实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946" w:type="dxa"/>
            <w:gridSpan w:val="4"/>
            <w:noWrap w:val="0"/>
            <w:vAlign w:val="center"/>
          </w:tcPr>
          <w:p>
            <w:pPr>
              <w:pStyle w:val="11"/>
              <w:ind w:left="0" w:leftChars="0" w:firstLine="0" w:firstLineChars="0"/>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val="en-US" w:eastAsia="zh-CN"/>
              </w:rPr>
              <w:t>总计</w:t>
            </w:r>
          </w:p>
        </w:tc>
        <w:tc>
          <w:tcPr>
            <w:tcW w:w="1291" w:type="dxa"/>
            <w:noWrap w:val="0"/>
            <w:vAlign w:val="center"/>
          </w:tcPr>
          <w:p>
            <w:pPr>
              <w:keepNext w:val="0"/>
              <w:keepLines w:val="0"/>
              <w:widowControl/>
              <w:suppressLineNumbers w:val="0"/>
              <w:jc w:val="center"/>
              <w:textAlignment w:val="center"/>
              <w:rPr>
                <w:rFonts w:hint="default" w:ascii="楷体" w:hAnsi="楷体" w:eastAsia="楷体" w:cs="楷体"/>
                <w:sz w:val="24"/>
                <w:szCs w:val="24"/>
                <w:highlight w:val="none"/>
                <w:vertAlign w:val="baseline"/>
                <w:lang w:val="en-US" w:eastAsia="zh-CN"/>
              </w:rPr>
            </w:pPr>
          </w:p>
        </w:tc>
        <w:tc>
          <w:tcPr>
            <w:tcW w:w="3390" w:type="dxa"/>
            <w:noWrap w:val="0"/>
            <w:vAlign w:val="center"/>
          </w:tcPr>
          <w:p>
            <w:pPr>
              <w:pStyle w:val="3"/>
              <w:ind w:left="0" w:leftChars="0" w:firstLine="0" w:firstLineChars="0"/>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vertAlign w:val="baseline"/>
                <w:lang w:val="en-US" w:eastAsia="zh-CN"/>
              </w:rPr>
              <w:t>含  %增值税专票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72C5EA8"/>
    <w:rsid w:val="07E75082"/>
    <w:rsid w:val="087710DF"/>
    <w:rsid w:val="08C52F3A"/>
    <w:rsid w:val="0A701785"/>
    <w:rsid w:val="0B6F55A6"/>
    <w:rsid w:val="0D316F93"/>
    <w:rsid w:val="0E46525B"/>
    <w:rsid w:val="0E4828A0"/>
    <w:rsid w:val="11E931F7"/>
    <w:rsid w:val="181F019F"/>
    <w:rsid w:val="18C630DC"/>
    <w:rsid w:val="1D550C0E"/>
    <w:rsid w:val="1DA13FB7"/>
    <w:rsid w:val="207104EF"/>
    <w:rsid w:val="21A84DD5"/>
    <w:rsid w:val="2338088B"/>
    <w:rsid w:val="238C18AD"/>
    <w:rsid w:val="24D33A69"/>
    <w:rsid w:val="26B17245"/>
    <w:rsid w:val="26C323AA"/>
    <w:rsid w:val="28084AD4"/>
    <w:rsid w:val="28F46694"/>
    <w:rsid w:val="2D6F4221"/>
    <w:rsid w:val="2FCF51D6"/>
    <w:rsid w:val="30BA4FD6"/>
    <w:rsid w:val="31B7693E"/>
    <w:rsid w:val="329B4E81"/>
    <w:rsid w:val="34967B67"/>
    <w:rsid w:val="355114B6"/>
    <w:rsid w:val="35B9285B"/>
    <w:rsid w:val="36DD1A49"/>
    <w:rsid w:val="374C12C3"/>
    <w:rsid w:val="37635B07"/>
    <w:rsid w:val="3A582007"/>
    <w:rsid w:val="3B1F3144"/>
    <w:rsid w:val="3D9335F9"/>
    <w:rsid w:val="3F98152E"/>
    <w:rsid w:val="427621E8"/>
    <w:rsid w:val="441A414F"/>
    <w:rsid w:val="45AC7876"/>
    <w:rsid w:val="47237853"/>
    <w:rsid w:val="4B4B0AD1"/>
    <w:rsid w:val="4BD73F9D"/>
    <w:rsid w:val="4CE405DF"/>
    <w:rsid w:val="4D521F7F"/>
    <w:rsid w:val="4D902178"/>
    <w:rsid w:val="4E2A4E82"/>
    <w:rsid w:val="4E2D29F8"/>
    <w:rsid w:val="506759EB"/>
    <w:rsid w:val="51BC3509"/>
    <w:rsid w:val="5A8D0517"/>
    <w:rsid w:val="5B6718A2"/>
    <w:rsid w:val="5C9F2CFB"/>
    <w:rsid w:val="5D363C4D"/>
    <w:rsid w:val="5D613E0C"/>
    <w:rsid w:val="5E190F3A"/>
    <w:rsid w:val="5FB967DC"/>
    <w:rsid w:val="6038664F"/>
    <w:rsid w:val="631C253B"/>
    <w:rsid w:val="68A576BD"/>
    <w:rsid w:val="6B7B2FD8"/>
    <w:rsid w:val="6E275208"/>
    <w:rsid w:val="6E532A8D"/>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2355</Words>
  <Characters>2534</Characters>
  <Lines>0</Lines>
  <Paragraphs>0</Paragraphs>
  <TotalTime>3</TotalTime>
  <ScaleCrop>false</ScaleCrop>
  <LinksUpToDate>false</LinksUpToDate>
  <CharactersWithSpaces>2648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2022-10-21T10:05:14Z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652C322E62264A83BB49087BE4BD97B3</vt:lpwstr>
  </property>
</Properties>
</file>