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color w:val="000000"/>
          <w:sz w:val="36"/>
          <w:szCs w:val="36"/>
        </w:rPr>
      </w:pPr>
      <w:r>
        <w:rPr>
          <w:rFonts w:hint="eastAsia"/>
          <w:b/>
          <w:bCs/>
          <w:sz w:val="36"/>
          <w:szCs w:val="36"/>
        </w:rPr>
        <w:t xml:space="preserve"> </w:t>
      </w:r>
      <w:r>
        <w:rPr>
          <w:rFonts w:hint="eastAsia" w:ascii="宋体" w:hAnsi="宋体" w:eastAsia="宋体" w:cs="宋体"/>
          <w:b/>
          <w:bCs/>
          <w:color w:val="000000"/>
          <w:sz w:val="36"/>
          <w:szCs w:val="36"/>
          <w:lang w:val="en-US" w:eastAsia="zh-CN"/>
        </w:rPr>
        <w:t>会昌县第六幼儿园</w:t>
      </w:r>
      <w:r>
        <w:rPr>
          <w:rFonts w:hint="eastAsia" w:ascii="宋体" w:hAnsi="宋体" w:eastAsia="宋体" w:cs="宋体"/>
          <w:b/>
          <w:bCs/>
          <w:color w:val="000000"/>
          <w:sz w:val="36"/>
          <w:szCs w:val="36"/>
        </w:rPr>
        <w:t>项目基桩检测</w:t>
      </w:r>
    </w:p>
    <w:p>
      <w:pPr>
        <w:jc w:val="center"/>
        <w:rPr>
          <w:rFonts w:ascii="宋体" w:hAnsi="宋体" w:eastAsia="宋体" w:cs="宋体"/>
          <w:b/>
          <w:bCs/>
          <w:sz w:val="40"/>
          <w:szCs w:val="48"/>
        </w:rPr>
      </w:pPr>
      <w:r>
        <w:rPr>
          <w:rFonts w:hint="eastAsia" w:ascii="宋体" w:hAnsi="宋体" w:eastAsia="宋体" w:cs="宋体"/>
          <w:b/>
          <w:bCs/>
          <w:color w:val="000000"/>
          <w:sz w:val="36"/>
          <w:szCs w:val="36"/>
          <w:lang w:eastAsia="zh-CN"/>
        </w:rPr>
        <w:t>企业</w:t>
      </w:r>
      <w:bookmarkStart w:id="1" w:name="_GoBack"/>
      <w:bookmarkEnd w:id="1"/>
      <w:r>
        <w:rPr>
          <w:rFonts w:hint="eastAsia" w:ascii="宋体" w:hAnsi="宋体" w:eastAsia="宋体" w:cs="宋体"/>
          <w:b/>
          <w:bCs/>
          <w:sz w:val="36"/>
          <w:szCs w:val="36"/>
        </w:rPr>
        <w:t>招标公告</w:t>
      </w:r>
    </w:p>
    <w:p>
      <w:pPr>
        <w:jc w:val="left"/>
        <w:rPr>
          <w:rFonts w:ascii="仿宋" w:hAnsi="仿宋" w:eastAsia="仿宋" w:cs="仿宋"/>
          <w:b/>
          <w:bCs/>
          <w:sz w:val="32"/>
          <w:szCs w:val="32"/>
        </w:rPr>
      </w:pPr>
      <w:r>
        <w:rPr>
          <w:rFonts w:hint="eastAsia" w:ascii="仿宋" w:hAnsi="仿宋" w:eastAsia="仿宋" w:cs="仿宋"/>
          <w:b/>
          <w:bCs/>
          <w:sz w:val="32"/>
          <w:szCs w:val="32"/>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32"/>
                <w:szCs w:val="32"/>
              </w:rPr>
            </w:pPr>
            <w:r>
              <w:rPr>
                <w:rFonts w:hint="eastAsia" w:ascii="仿宋" w:hAnsi="仿宋" w:eastAsia="仿宋" w:cs="仿宋"/>
                <w:b/>
                <w:bCs/>
                <w:sz w:val="32"/>
                <w:szCs w:val="32"/>
              </w:rPr>
              <w:t>项号</w:t>
            </w:r>
          </w:p>
        </w:tc>
        <w:tc>
          <w:tcPr>
            <w:tcW w:w="1629" w:type="dxa"/>
          </w:tcPr>
          <w:p>
            <w:pPr>
              <w:jc w:val="center"/>
              <w:rPr>
                <w:rFonts w:ascii="仿宋" w:hAnsi="仿宋" w:eastAsia="仿宋" w:cs="仿宋"/>
                <w:b/>
                <w:bCs/>
                <w:sz w:val="32"/>
                <w:szCs w:val="32"/>
              </w:rPr>
            </w:pPr>
            <w:r>
              <w:rPr>
                <w:rFonts w:hint="eastAsia" w:ascii="仿宋" w:hAnsi="仿宋" w:eastAsia="仿宋" w:cs="仿宋"/>
                <w:b/>
                <w:bCs/>
                <w:sz w:val="32"/>
                <w:szCs w:val="32"/>
              </w:rPr>
              <w:t>内 容</w:t>
            </w:r>
          </w:p>
        </w:tc>
        <w:tc>
          <w:tcPr>
            <w:tcW w:w="7020" w:type="dxa"/>
          </w:tcPr>
          <w:p>
            <w:pPr>
              <w:jc w:val="center"/>
              <w:rPr>
                <w:rFonts w:ascii="仿宋" w:hAnsi="仿宋" w:eastAsia="仿宋" w:cs="仿宋"/>
                <w:b/>
                <w:bCs/>
                <w:sz w:val="32"/>
                <w:szCs w:val="32"/>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rPr>
              <w:t>会昌县德欣教育科技有限公司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lang w:val="en-US" w:eastAsia="zh-CN"/>
              </w:rPr>
              <w:t>会昌县第六幼儿园项目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7020" w:type="dxa"/>
            <w:vAlign w:val="center"/>
          </w:tcPr>
          <w:p>
            <w:pPr>
              <w:jc w:val="center"/>
              <w:rPr>
                <w:rFonts w:hint="default" w:ascii="仿宋" w:hAnsi="仿宋" w:eastAsia="仿宋" w:cs="仿宋"/>
                <w:sz w:val="32"/>
                <w:szCs w:val="32"/>
                <w:lang w:val="en-US" w:eastAsia="zh-CN"/>
              </w:rPr>
            </w:pPr>
            <w:r>
              <w:rPr>
                <w:rFonts w:hint="eastAsia" w:ascii="仿宋" w:hAnsi="仿宋" w:eastAsia="仿宋" w:cs="仿宋"/>
                <w:sz w:val="32"/>
                <w:szCs w:val="32"/>
              </w:rPr>
              <w:t>会昌县</w:t>
            </w:r>
            <w:r>
              <w:rPr>
                <w:rFonts w:hint="eastAsia" w:ascii="仿宋" w:hAnsi="仿宋" w:eastAsia="仿宋" w:cs="仿宋"/>
                <w:sz w:val="32"/>
                <w:szCs w:val="32"/>
                <w:lang w:val="en-US" w:eastAsia="zh-CN"/>
              </w:rPr>
              <w:t>九州大道西侧，英才学校东侧。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7020" w:type="dxa"/>
            <w:vAlign w:val="center"/>
          </w:tcPr>
          <w:p>
            <w:pPr>
              <w:jc w:val="center"/>
              <w:rPr>
                <w:rFonts w:ascii="仿宋" w:hAnsi="仿宋" w:eastAsia="仿宋" w:cs="仿宋"/>
                <w:sz w:val="32"/>
                <w:szCs w:val="32"/>
              </w:rPr>
            </w:pPr>
            <w:r>
              <w:rPr>
                <w:rFonts w:hint="eastAsia" w:ascii="仿宋" w:hAnsi="仿宋" w:eastAsia="仿宋" w:cs="仿宋"/>
                <w:sz w:val="32"/>
                <w:szCs w:val="32"/>
                <w:lang w:val="en-US" w:eastAsia="zh-CN"/>
              </w:rPr>
              <w:t>会昌县第六幼儿园项目</w:t>
            </w:r>
            <w:r>
              <w:rPr>
                <w:rFonts w:hint="eastAsia" w:ascii="仿宋" w:hAnsi="仿宋" w:eastAsia="仿宋" w:cs="仿宋"/>
                <w:sz w:val="32"/>
                <w:szCs w:val="32"/>
              </w:rPr>
              <w:t>所涵盖的所有桩基础检测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7020" w:type="dxa"/>
            <w:vAlign w:val="center"/>
          </w:tcPr>
          <w:p>
            <w:pPr>
              <w:jc w:val="center"/>
              <w:rPr>
                <w:rFonts w:ascii="仿宋" w:hAnsi="仿宋" w:eastAsia="仿宋" w:cs="仿宋"/>
                <w:sz w:val="32"/>
                <w:szCs w:val="32"/>
              </w:rPr>
            </w:pPr>
            <w:r>
              <w:rPr>
                <w:rFonts w:hint="eastAsia" w:ascii="仿宋" w:hAnsi="仿宋" w:eastAsia="仿宋" w:cs="仿宋"/>
                <w:bCs/>
                <w:sz w:val="32"/>
                <w:szCs w:val="32"/>
              </w:rPr>
              <w:t>一般债券资金及自筹资金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7020" w:type="dxa"/>
            <w:vAlign w:val="center"/>
          </w:tcPr>
          <w:p>
            <w:pP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检测方法和检测数量详见《关于规范江西省建筑基桩检测方法和检测数量的意见》(赣力基础[2011]第006号)。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7020" w:type="dxa"/>
            <w:vAlign w:val="center"/>
          </w:tcPr>
          <w:p>
            <w:pPr>
              <w:jc w:val="center"/>
              <w:rPr>
                <w:rFonts w:ascii="仿宋" w:hAnsi="仿宋" w:eastAsia="仿宋" w:cs="仿宋"/>
                <w:b/>
                <w:bCs/>
                <w:sz w:val="32"/>
                <w:szCs w:val="32"/>
              </w:rPr>
            </w:pPr>
            <w:r>
              <w:rPr>
                <w:rFonts w:hint="eastAsia" w:ascii="仿宋" w:hAnsi="仿宋" w:eastAsia="仿宋" w:cs="仿宋"/>
                <w:sz w:val="32"/>
                <w:szCs w:val="32"/>
              </w:rPr>
              <w:t>1.根据桩基检测工艺规范相关要求 2.满足建设单位及实际施工相关需要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7020" w:type="dxa"/>
            <w:vAlign w:val="center"/>
          </w:tcPr>
          <w:p>
            <w:pPr>
              <w:jc w:val="center"/>
              <w:rPr>
                <w:rFonts w:ascii="仿宋" w:hAnsi="仿宋" w:eastAsia="仿宋" w:cs="仿宋"/>
                <w:color w:val="FF0000"/>
                <w:sz w:val="32"/>
                <w:szCs w:val="32"/>
              </w:rPr>
            </w:pPr>
            <w:r>
              <w:rPr>
                <w:rFonts w:hint="eastAsia" w:ascii="仿宋" w:hAnsi="仿宋" w:eastAsia="仿宋" w:cs="仿宋"/>
                <w:color w:val="000000" w:themeColor="text1"/>
                <w:sz w:val="32"/>
                <w:szCs w:val="32"/>
                <w14:textFill>
                  <w14:solidFill>
                    <w14:schemeClr w14:val="tx1"/>
                  </w14:solidFill>
                </w14:textFill>
              </w:rPr>
              <w:t>2022年</w:t>
            </w:r>
            <w:r>
              <w:rPr>
                <w:rFonts w:hint="eastAsia" w:ascii="仿宋" w:hAnsi="仿宋" w:eastAsia="仿宋" w:cs="仿宋"/>
                <w:color w:val="000000" w:themeColor="text1"/>
                <w:sz w:val="32"/>
                <w:szCs w:val="32"/>
                <w:lang w:val="en-US" w:eastAsia="zh-CN"/>
                <w14:textFill>
                  <w14:solidFill>
                    <w14:schemeClr w14:val="tx1"/>
                  </w14:solidFill>
                </w14:textFill>
              </w:rPr>
              <w:t>11</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4</w:t>
            </w:r>
            <w:r>
              <w:rPr>
                <w:rFonts w:hint="eastAsia" w:ascii="仿宋" w:hAnsi="仿宋" w:eastAsia="仿宋" w:cs="仿宋"/>
                <w:color w:val="000000" w:themeColor="text1"/>
                <w:sz w:val="32"/>
                <w:szCs w:val="32"/>
                <w14:textFill>
                  <w14:solidFill>
                    <w14:schemeClr w14:val="tx1"/>
                  </w14:solidFill>
                </w14:textFill>
              </w:rPr>
              <w:t>日至2022年</w:t>
            </w:r>
            <w:r>
              <w:rPr>
                <w:rFonts w:hint="eastAsia" w:ascii="仿宋" w:hAnsi="仿宋" w:eastAsia="仿宋" w:cs="仿宋"/>
                <w:color w:val="000000" w:themeColor="text1"/>
                <w:sz w:val="32"/>
                <w:szCs w:val="32"/>
                <w:lang w:val="en-US" w:eastAsia="zh-CN"/>
                <w14:textFill>
                  <w14:solidFill>
                    <w14:schemeClr w14:val="tx1"/>
                  </w14:solidFill>
                </w14:textFill>
              </w:rPr>
              <w:t>11</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8</w:t>
            </w:r>
            <w:r>
              <w:rPr>
                <w:rFonts w:hint="eastAsia" w:ascii="仿宋" w:hAnsi="仿宋" w:eastAsia="仿宋" w:cs="仿宋"/>
                <w:color w:val="000000" w:themeColor="text1"/>
                <w:sz w:val="32"/>
                <w:szCs w:val="32"/>
                <w14:textFill>
                  <w14:solidFill>
                    <w14:schemeClr w14:val="tx1"/>
                  </w14:solidFill>
                </w14:textFill>
              </w:rPr>
              <w:t>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在完成桩基检测和出具检测报告后并报送相关结算资料、发票等材料后支付。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7020" w:type="dxa"/>
            <w:vAlign w:val="center"/>
          </w:tcPr>
          <w:p>
            <w:pPr>
              <w:jc w:val="center"/>
              <w:rPr>
                <w:rFonts w:ascii="仿宋" w:hAnsi="仿宋" w:eastAsia="仿宋" w:cs="仿宋"/>
                <w:sz w:val="32"/>
                <w:szCs w:val="32"/>
              </w:rPr>
            </w:pPr>
            <w:r>
              <w:rPr>
                <w:rFonts w:hint="eastAsia" w:ascii="仿宋" w:hAnsi="仿宋" w:eastAsia="仿宋" w:cs="仿宋"/>
                <w:color w:val="000000" w:themeColor="text1"/>
                <w:sz w:val="32"/>
                <w:szCs w:val="32"/>
                <w14:textFill>
                  <w14:solidFill>
                    <w14:schemeClr w14:val="tx1"/>
                  </w14:solidFill>
                </w14:textFill>
              </w:rPr>
              <w:t>固定综合单价（含增值税专票、人工、辅材、机械费等）</w:t>
            </w:r>
            <w:r>
              <w:rPr>
                <w:rFonts w:hint="eastAsia" w:ascii="仿宋" w:hAnsi="仿宋" w:eastAsia="仿宋" w:cs="仿宋"/>
                <w:sz w:val="32"/>
                <w:szCs w:val="32"/>
              </w:rPr>
              <w:t>，结算以实际工程量*</w:t>
            </w:r>
            <w:r>
              <w:rPr>
                <w:rFonts w:hint="eastAsia" w:ascii="仿宋" w:hAnsi="仿宋" w:eastAsia="仿宋" w:cs="仿宋"/>
                <w:color w:val="000000" w:themeColor="text1"/>
                <w:sz w:val="32"/>
                <w:szCs w:val="32"/>
                <w14:textFill>
                  <w14:solidFill>
                    <w14:schemeClr w14:val="tx1"/>
                  </w14:solidFill>
                </w14:textFill>
              </w:rPr>
              <w:t>综合</w:t>
            </w:r>
            <w:r>
              <w:rPr>
                <w:rFonts w:hint="eastAsia" w:ascii="仿宋" w:hAnsi="仿宋" w:eastAsia="仿宋" w:cs="仿宋"/>
                <w:sz w:val="32"/>
                <w:szCs w:val="32"/>
              </w:rPr>
              <w:t>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11</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7020" w:type="dxa"/>
            <w:vAlign w:val="center"/>
          </w:tcPr>
          <w:p>
            <w:pPr>
              <w:rPr>
                <w:rFonts w:ascii="仿宋" w:hAnsi="仿宋" w:eastAsia="仿宋" w:cs="仿宋"/>
                <w:sz w:val="32"/>
                <w:szCs w:val="32"/>
              </w:rPr>
            </w:pPr>
            <w:r>
              <w:rPr>
                <w:rFonts w:hint="eastAsia" w:ascii="仿宋" w:hAnsi="仿宋" w:eastAsia="仿宋" w:cs="仿宋"/>
                <w:sz w:val="32"/>
                <w:szCs w:val="32"/>
              </w:rPr>
              <w:t xml:space="preserve">招标联系人：钟鹏 </w:t>
            </w:r>
            <w:r>
              <w:rPr>
                <w:rFonts w:ascii="仿宋" w:hAnsi="仿宋" w:eastAsia="仿宋" w:cs="仿宋"/>
                <w:sz w:val="32"/>
                <w:szCs w:val="32"/>
              </w:rPr>
              <w:t>15070707530</w:t>
            </w:r>
            <w:r>
              <w:rPr>
                <w:rFonts w:hint="eastAsia" w:ascii="仿宋" w:hAnsi="仿宋" w:eastAsia="仿宋" w:cs="仿宋"/>
                <w:sz w:val="32"/>
                <w:szCs w:val="32"/>
              </w:rPr>
              <w:t xml:space="preserve"> 投标地点：会昌县商会大厦十楼工程部。请在报名有效期内提交报价材料。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629"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7020" w:type="dxa"/>
            <w:vAlign w:val="center"/>
          </w:tcPr>
          <w:p>
            <w:pPr>
              <w:rPr>
                <w:rFonts w:ascii="仿宋" w:hAnsi="仿宋" w:eastAsia="仿宋" w:cs="仿宋"/>
                <w:color w:val="FF0000"/>
                <w:sz w:val="32"/>
                <w:szCs w:val="32"/>
              </w:rPr>
            </w:pPr>
            <w:r>
              <w:rPr>
                <w:rFonts w:hint="eastAsia" w:ascii="仿宋" w:hAnsi="仿宋" w:eastAsia="仿宋" w:cs="仿宋"/>
                <w:sz w:val="32"/>
                <w:szCs w:val="32"/>
              </w:rPr>
              <w:t>开标时间为：</w:t>
            </w:r>
            <w:r>
              <w:rPr>
                <w:rFonts w:hint="eastAsia" w:ascii="仿宋" w:hAnsi="仿宋" w:eastAsia="仿宋" w:cs="仿宋"/>
                <w:color w:val="000000" w:themeColor="text1"/>
                <w:sz w:val="32"/>
                <w:szCs w:val="32"/>
                <w14:textFill>
                  <w14:solidFill>
                    <w14:schemeClr w14:val="tx1"/>
                  </w14:solidFill>
                </w14:textFill>
              </w:rPr>
              <w:t>2022年</w:t>
            </w:r>
            <w:r>
              <w:rPr>
                <w:rFonts w:hint="eastAsia" w:ascii="仿宋" w:hAnsi="仿宋" w:eastAsia="仿宋" w:cs="仿宋"/>
                <w:color w:val="000000" w:themeColor="text1"/>
                <w:sz w:val="32"/>
                <w:szCs w:val="32"/>
                <w:lang w:val="en-US" w:eastAsia="zh-CN"/>
                <w14:textFill>
                  <w14:solidFill>
                    <w14:schemeClr w14:val="tx1"/>
                  </w14:solidFill>
                </w14:textFill>
              </w:rPr>
              <w:t>11</w:t>
            </w:r>
            <w:r>
              <w:rPr>
                <w:rFonts w:hint="eastAsia" w:ascii="仿宋" w:hAnsi="仿宋" w:eastAsia="仿宋" w:cs="仿宋"/>
                <w:color w:val="000000" w:themeColor="text1"/>
                <w:sz w:val="32"/>
                <w:szCs w:val="32"/>
                <w14:textFill>
                  <w14:solidFill>
                    <w14:schemeClr w14:val="tx1"/>
                  </w14:solidFill>
                </w14:textFill>
              </w:rPr>
              <w:t>月</w:t>
            </w:r>
            <w:r>
              <w:rPr>
                <w:rFonts w:hint="eastAsia" w:ascii="仿宋" w:hAnsi="仿宋" w:eastAsia="仿宋" w:cs="仿宋"/>
                <w:color w:val="000000" w:themeColor="text1"/>
                <w:sz w:val="32"/>
                <w:szCs w:val="32"/>
                <w:lang w:val="en-US" w:eastAsia="zh-CN"/>
                <w14:textFill>
                  <w14:solidFill>
                    <w14:schemeClr w14:val="tx1"/>
                  </w14:solidFill>
                </w14:textFill>
              </w:rPr>
              <w:t>8</w:t>
            </w:r>
            <w:r>
              <w:rPr>
                <w:rFonts w:hint="eastAsia" w:ascii="仿宋" w:hAnsi="仿宋" w:eastAsia="仿宋" w:cs="仿宋"/>
                <w:color w:val="000000" w:themeColor="text1"/>
                <w:sz w:val="32"/>
                <w:szCs w:val="32"/>
                <w14:textFill>
                  <w14:solidFill>
                    <w14:schemeClr w14:val="tx1"/>
                  </w14:solidFill>
                </w14:textFill>
              </w:rPr>
              <w:t>日上午10:00，</w:t>
            </w:r>
            <w:r>
              <w:rPr>
                <w:rFonts w:hint="eastAsia" w:ascii="仿宋" w:hAnsi="仿宋" w:eastAsia="仿宋" w:cs="仿宋"/>
                <w:color w:val="000000"/>
                <w:sz w:val="32"/>
                <w:szCs w:val="32"/>
              </w:rPr>
              <w:t>集团询价小组进行现场拆封各投标人报价文件，审核各投标人资质，按低价原则确定服务机构，项目开标邀请集团监事会主席全程参与见证。</w:t>
            </w:r>
          </w:p>
          <w:p>
            <w:pPr>
              <w:rPr>
                <w:rFonts w:ascii="仿宋" w:hAnsi="仿宋" w:eastAsia="仿宋" w:cs="仿宋"/>
                <w:sz w:val="32"/>
                <w:szCs w:val="32"/>
              </w:rPr>
            </w:pPr>
            <w:r>
              <w:rPr>
                <w:rFonts w:hint="eastAsia" w:ascii="仿宋" w:hAnsi="仿宋" w:eastAsia="仿宋" w:cs="仿宋"/>
                <w:sz w:val="32"/>
                <w:szCs w:val="32"/>
              </w:rPr>
              <w:t>地点：会昌县商会大厦十楼会议室</w:t>
            </w:r>
          </w:p>
          <w:p>
            <w:pPr>
              <w:jc w:val="left"/>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 w:hAnsi="仿宋" w:eastAsia="仿宋" w:cs="仿宋"/>
          <w:b/>
          <w:bCs/>
          <w:sz w:val="32"/>
          <w:szCs w:val="32"/>
        </w:rPr>
      </w:pPr>
      <w:r>
        <w:rPr>
          <w:rFonts w:hint="eastAsia" w:ascii="仿宋" w:hAnsi="仿宋" w:eastAsia="仿宋" w:cs="仿宋"/>
          <w:b/>
          <w:bCs/>
          <w:sz w:val="32"/>
          <w:szCs w:val="32"/>
        </w:rPr>
        <w:t>二、报价要求及中标原则</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1、投标要求</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1.1、投标单价为包干综合单价，投标单位报价后我公司即视为报价方在报价前已充分进行了现场踏勘、测量、风险评估及工期提前等所有风险。任何要求</w:t>
      </w:r>
      <w:bookmarkStart w:id="0" w:name="_Hlk529951313"/>
      <w:r>
        <w:rPr>
          <w:rFonts w:hint="eastAsia" w:ascii="仿宋" w:hAnsi="仿宋" w:eastAsia="仿宋" w:cs="仿宋"/>
          <w:sz w:val="32"/>
          <w:szCs w:val="32"/>
        </w:rPr>
        <w:t>增减、变更</w:t>
      </w:r>
      <w:bookmarkEnd w:id="0"/>
      <w:r>
        <w:rPr>
          <w:rFonts w:hint="eastAsia" w:ascii="仿宋" w:hAnsi="仿宋" w:eastAsia="仿宋" w:cs="仿宋"/>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1.2、投标需提供的资料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1）报价表（参照附件格式）。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2）法人身份证复印件、公司营业执照复印件、资质证书复印件、委托书及被委托人身份证复印件。</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3）提供公司主要管理及其直系亲属未在会昌县恒茂建设发展集团有限责任公司从业的承诺书（参照附件格式）。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4）外省企业应提供符合主管部门关于入赣备案等相关规定的材料。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5）复印件均需加盖公章，所有材料必须进行封装并加盖公章，否则无效。</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1.3、提供虚假资料的取消其投标及中标资格，开标时不足3家投标单位按流标处理。</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1.4、中标公示3天后5天内签订合同，签订合同后要在3天日内需进场开展工作。</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2、中标原则：</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符合报价文件且在同等条件下以报价最优惠的单位为中标单位。</w:t>
      </w:r>
    </w:p>
    <w:p>
      <w:pPr>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3、承包内容：</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按相关规范开展本工程范围内的试验桩、工程桩桩身完整性检测、承载力检测、低应变动力检测、取芯检测工作。</w:t>
      </w:r>
    </w:p>
    <w:p>
      <w:pPr>
        <w:jc w:val="left"/>
        <w:rPr>
          <w:rFonts w:ascii="仿宋" w:hAnsi="仿宋" w:eastAsia="仿宋" w:cs="仿宋"/>
          <w:b/>
          <w:bCs/>
          <w:sz w:val="32"/>
          <w:szCs w:val="32"/>
        </w:rPr>
      </w:pPr>
      <w:r>
        <w:rPr>
          <w:rFonts w:hint="eastAsia" w:ascii="仿宋" w:hAnsi="仿宋" w:eastAsia="仿宋" w:cs="仿宋"/>
          <w:b/>
          <w:bCs/>
          <w:sz w:val="32"/>
          <w:szCs w:val="32"/>
        </w:rPr>
        <w:t>三、投标文件递交</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1、投标人应将投标文件密封加盖章。</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2、封装袋上可写明投标人名称和联系方式。</w:t>
      </w:r>
    </w:p>
    <w:p>
      <w:pPr>
        <w:ind w:firstLine="640" w:firstLineChars="200"/>
        <w:jc w:val="left"/>
        <w:rPr>
          <w:rFonts w:ascii="仿宋" w:hAnsi="仿宋" w:eastAsia="仿宋" w:cs="仿宋"/>
          <w:sz w:val="32"/>
          <w:szCs w:val="32"/>
        </w:rPr>
      </w:pPr>
      <w:r>
        <w:rPr>
          <w:rFonts w:hint="eastAsia" w:ascii="仿宋" w:hAnsi="仿宋" w:eastAsia="仿宋" w:cs="仿宋"/>
          <w:sz w:val="32"/>
          <w:szCs w:val="32"/>
        </w:rPr>
        <w:t>3、投标人在规定时间前可采用邮寄（送达时间需在开标前）或现场递交的方式将投标文件递交到指定地点。</w:t>
      </w:r>
    </w:p>
    <w:p>
      <w:pPr>
        <w:jc w:val="left"/>
        <w:rPr>
          <w:rFonts w:ascii="仿宋" w:hAnsi="仿宋" w:eastAsia="仿宋" w:cs="仿宋"/>
          <w:b/>
          <w:bCs/>
          <w:sz w:val="32"/>
          <w:szCs w:val="32"/>
        </w:rPr>
      </w:pPr>
      <w:r>
        <w:rPr>
          <w:rFonts w:hint="eastAsia" w:ascii="仿宋" w:hAnsi="仿宋" w:eastAsia="仿宋" w:cs="仿宋"/>
          <w:b/>
          <w:bCs/>
          <w:sz w:val="32"/>
          <w:szCs w:val="32"/>
        </w:rPr>
        <w:t>四、工程量及控制价</w:t>
      </w:r>
    </w:p>
    <w:p>
      <w:pPr>
        <w:ind w:firstLine="321" w:firstLineChars="100"/>
        <w:jc w:val="left"/>
        <w:rPr>
          <w:rFonts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b/>
          <w:color w:val="000000" w:themeColor="text1"/>
          <w:kern w:val="0"/>
          <w:sz w:val="32"/>
          <w:szCs w:val="32"/>
          <w14:textFill>
            <w14:solidFill>
              <w14:schemeClr w14:val="tx1"/>
            </w14:solidFill>
          </w14:textFill>
        </w:rPr>
        <w:t>1、工程量</w:t>
      </w:r>
    </w:p>
    <w:p>
      <w:pPr>
        <w:rPr>
          <w:rFonts w:ascii="仿宋" w:hAnsi="仿宋" w:eastAsia="仿宋" w:cs="仿宋"/>
          <w:bCs/>
          <w:color w:val="000000" w:themeColor="text1"/>
          <w:kern w:val="0"/>
          <w:sz w:val="32"/>
          <w:szCs w:val="32"/>
          <w14:textFill>
            <w14:solidFill>
              <w14:schemeClr w14:val="tx1"/>
            </w14:solidFill>
          </w14:textFill>
        </w:rPr>
      </w:pPr>
      <w:r>
        <w:rPr>
          <w:rFonts w:hint="eastAsia" w:ascii="仿宋" w:hAnsi="仿宋" w:eastAsia="仿宋" w:cs="仿宋"/>
          <w:bCs/>
          <w:color w:val="000000" w:themeColor="text1"/>
          <w:kern w:val="0"/>
          <w:sz w:val="32"/>
          <w:szCs w:val="32"/>
          <w14:textFill>
            <w14:solidFill>
              <w14:schemeClr w14:val="tx1"/>
            </w14:solidFill>
          </w14:textFill>
        </w:rPr>
        <w:t xml:space="preserve">    </w:t>
      </w:r>
      <w:r>
        <w:rPr>
          <w:rFonts w:hint="eastAsia" w:ascii="仿宋" w:hAnsi="仿宋" w:eastAsia="仿宋" w:cs="仿宋"/>
          <w:bCs/>
          <w:color w:val="000000" w:themeColor="text1"/>
          <w:kern w:val="0"/>
          <w:sz w:val="32"/>
          <w:szCs w:val="32"/>
          <w:lang w:val="en-US" w:eastAsia="zh-CN"/>
          <w14:textFill>
            <w14:solidFill>
              <w14:schemeClr w14:val="tx1"/>
            </w14:solidFill>
          </w14:textFill>
        </w:rPr>
        <w:t>教学楼151</w:t>
      </w:r>
      <w:r>
        <w:rPr>
          <w:rFonts w:hint="eastAsia" w:ascii="仿宋" w:hAnsi="仿宋" w:eastAsia="仿宋" w:cs="仿宋"/>
          <w:bCs/>
          <w:color w:val="000000" w:themeColor="text1"/>
          <w:kern w:val="0"/>
          <w:sz w:val="32"/>
          <w:szCs w:val="32"/>
          <w14:textFill>
            <w14:solidFill>
              <w14:schemeClr w14:val="tx1"/>
            </w14:solidFill>
          </w14:textFill>
        </w:rPr>
        <w:t>根桩，桩径</w:t>
      </w:r>
      <w:r>
        <w:rPr>
          <w:rFonts w:hint="eastAsia" w:ascii="仿宋" w:hAnsi="仿宋" w:eastAsia="仿宋" w:cs="仿宋"/>
          <w:bCs/>
          <w:color w:val="000000" w:themeColor="text1"/>
          <w:kern w:val="0"/>
          <w:sz w:val="32"/>
          <w:szCs w:val="32"/>
          <w:lang w:val="en-US" w:eastAsia="zh-CN"/>
          <w14:textFill>
            <w14:solidFill>
              <w14:schemeClr w14:val="tx1"/>
            </w14:solidFill>
          </w14:textFill>
        </w:rPr>
        <w:t>600</w:t>
      </w:r>
      <w:r>
        <w:rPr>
          <w:rFonts w:ascii="仿宋" w:hAnsi="仿宋" w:eastAsia="仿宋" w:cs="仿宋"/>
          <w:bCs/>
          <w:color w:val="000000" w:themeColor="text1"/>
          <w:kern w:val="0"/>
          <w:sz w:val="32"/>
          <w:szCs w:val="32"/>
          <w14:textFill>
            <w14:solidFill>
              <w14:schemeClr w14:val="tx1"/>
            </w14:solidFill>
          </w14:textFill>
        </w:rPr>
        <w:t>MM</w:t>
      </w:r>
      <w:r>
        <w:rPr>
          <w:rFonts w:hint="eastAsia" w:ascii="仿宋" w:hAnsi="仿宋" w:eastAsia="仿宋" w:cs="仿宋"/>
          <w:bCs/>
          <w:color w:val="000000" w:themeColor="text1"/>
          <w:kern w:val="0"/>
          <w:sz w:val="32"/>
          <w:szCs w:val="32"/>
          <w14:textFill>
            <w14:solidFill>
              <w14:schemeClr w14:val="tx1"/>
            </w14:solidFill>
          </w14:textFill>
        </w:rPr>
        <w:t>。（详见托育大楼桩基图）</w:t>
      </w:r>
    </w:p>
    <w:p>
      <w:pPr>
        <w:ind w:firstLine="321" w:firstLineChars="100"/>
        <w:rPr>
          <w:rFonts w:ascii="仿宋" w:hAnsi="仿宋" w:eastAsia="仿宋" w:cs="仿宋"/>
          <w:b/>
          <w:sz w:val="32"/>
          <w:szCs w:val="32"/>
        </w:rPr>
      </w:pPr>
      <w:r>
        <w:rPr>
          <w:rFonts w:hint="eastAsia" w:ascii="仿宋" w:hAnsi="仿宋" w:eastAsia="仿宋" w:cs="仿宋"/>
          <w:b/>
          <w:color w:val="000000" w:themeColor="text1"/>
          <w:kern w:val="0"/>
          <w:sz w:val="32"/>
          <w:szCs w:val="32"/>
          <w14:textFill>
            <w14:solidFill>
              <w14:schemeClr w14:val="tx1"/>
            </w14:solidFill>
          </w14:textFill>
        </w:rPr>
        <w:t>2、控制价</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603"/>
        <w:gridCol w:w="1803"/>
        <w:gridCol w:w="2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603"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控制单价</w:t>
            </w:r>
          </w:p>
        </w:tc>
        <w:tc>
          <w:tcPr>
            <w:tcW w:w="1803"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低应变检测</w:t>
            </w:r>
          </w:p>
        </w:tc>
        <w:tc>
          <w:tcPr>
            <w:tcW w:w="16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35元</w:t>
            </w:r>
          </w:p>
        </w:tc>
        <w:tc>
          <w:tcPr>
            <w:tcW w:w="18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元/根</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招标控制价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静载检测</w:t>
            </w:r>
          </w:p>
        </w:tc>
        <w:tc>
          <w:tcPr>
            <w:tcW w:w="16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35元</w:t>
            </w:r>
          </w:p>
        </w:tc>
        <w:tc>
          <w:tcPr>
            <w:tcW w:w="18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元/吨</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招标控制价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取芯检测</w:t>
            </w:r>
          </w:p>
        </w:tc>
        <w:tc>
          <w:tcPr>
            <w:tcW w:w="16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200元</w:t>
            </w:r>
          </w:p>
        </w:tc>
        <w:tc>
          <w:tcPr>
            <w:tcW w:w="1803" w:type="dxa"/>
            <w:vAlign w:val="center"/>
          </w:tcPr>
          <w:p>
            <w:pPr>
              <w:pStyle w:val="4"/>
              <w:ind w:left="0" w:leftChars="0"/>
              <w:jc w:val="center"/>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元/米</w:t>
            </w:r>
          </w:p>
        </w:tc>
        <w:tc>
          <w:tcPr>
            <w:tcW w:w="2236"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招标控制价</w:t>
            </w:r>
          </w:p>
        </w:tc>
      </w:tr>
    </w:tbl>
    <w:p>
      <w:pPr>
        <w:widowControl/>
        <w:spacing w:line="500" w:lineRule="exact"/>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注意事项：投标报价超出控制价的视为无效投标。</w:t>
      </w:r>
    </w:p>
    <w:p>
      <w:pPr>
        <w:widowControl/>
        <w:spacing w:line="500" w:lineRule="exact"/>
        <w:rPr>
          <w:rFonts w:ascii="仿宋" w:hAnsi="仿宋" w:eastAsia="仿宋" w:cs="仿宋"/>
          <w:b/>
          <w:color w:val="000000" w:themeColor="text1"/>
          <w:kern w:val="0"/>
          <w:sz w:val="36"/>
          <w:szCs w:val="36"/>
          <w14:textFill>
            <w14:solidFill>
              <w14:schemeClr w14:val="tx1"/>
            </w14:solidFill>
          </w14:textFill>
        </w:rPr>
      </w:pPr>
    </w:p>
    <w:p>
      <w:pP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br w:type="page"/>
      </w:r>
    </w:p>
    <w:p>
      <w:pPr>
        <w:widowControl/>
        <w:spacing w:line="500" w:lineRule="exact"/>
        <w:jc w:val="center"/>
        <w:rPr>
          <w:rFonts w:ascii="仿宋" w:hAnsi="仿宋" w:eastAsia="仿宋" w:cs="仿宋"/>
          <w:b/>
          <w:color w:val="000000" w:themeColor="text1"/>
          <w:kern w:val="0"/>
          <w:sz w:val="36"/>
          <w:szCs w:val="36"/>
          <w14:textFill>
            <w14:solidFill>
              <w14:schemeClr w14:val="tx1"/>
            </w14:solidFill>
          </w14:textFill>
        </w:rPr>
      </w:pPr>
      <w:r>
        <w:rPr>
          <w:rFonts w:hint="eastAsia" w:ascii="仿宋" w:hAnsi="仿宋" w:eastAsia="仿宋" w:cs="仿宋"/>
          <w:b/>
          <w:color w:val="000000" w:themeColor="text1"/>
          <w:kern w:val="0"/>
          <w:sz w:val="36"/>
          <w:szCs w:val="36"/>
          <w14:textFill>
            <w14:solidFill>
              <w14:schemeClr w14:val="tx1"/>
            </w14:solidFill>
          </w14:textFill>
        </w:rPr>
        <w:t>报价表</w:t>
      </w:r>
    </w:p>
    <w:tbl>
      <w:tblPr>
        <w:tblStyle w:val="7"/>
        <w:tblpPr w:leftFromText="180" w:rightFromText="180" w:vertAnchor="text" w:horzAnchor="page" w:tblpX="1975" w:tblpY="21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9"/>
        <w:gridCol w:w="1980"/>
        <w:gridCol w:w="1987"/>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项目名称</w:t>
            </w:r>
          </w:p>
        </w:tc>
        <w:tc>
          <w:tcPr>
            <w:tcW w:w="1980"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单价（元）</w:t>
            </w: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单位</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低应变检测</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元/根</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静载检测</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元/吨</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9"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取芯检测</w:t>
            </w:r>
          </w:p>
        </w:tc>
        <w:tc>
          <w:tcPr>
            <w:tcW w:w="1980" w:type="dxa"/>
            <w:vAlign w:val="center"/>
          </w:tcPr>
          <w:p>
            <w:pPr>
              <w:pStyle w:val="4"/>
              <w:ind w:left="0" w:leftChars="0"/>
              <w:jc w:val="center"/>
              <w:rPr>
                <w:rFonts w:ascii="仿宋" w:hAnsi="仿宋" w:eastAsia="仿宋" w:cs="仿宋"/>
                <w:sz w:val="32"/>
                <w:szCs w:val="32"/>
              </w:rPr>
            </w:pPr>
          </w:p>
        </w:tc>
        <w:tc>
          <w:tcPr>
            <w:tcW w:w="1987"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元/米</w:t>
            </w:r>
          </w:p>
        </w:tc>
        <w:tc>
          <w:tcPr>
            <w:tcW w:w="1675" w:type="dxa"/>
            <w:vAlign w:val="center"/>
          </w:tcPr>
          <w:p>
            <w:pPr>
              <w:pStyle w:val="4"/>
              <w:ind w:left="0" w:leftChars="0"/>
              <w:jc w:val="center"/>
              <w:rPr>
                <w:rFonts w:ascii="仿宋" w:hAnsi="仿宋" w:eastAsia="仿宋" w:cs="仿宋"/>
                <w:sz w:val="32"/>
                <w:szCs w:val="32"/>
              </w:rPr>
            </w:pPr>
            <w:r>
              <w:rPr>
                <w:rFonts w:hint="eastAsia" w:ascii="仿宋" w:hAnsi="仿宋" w:eastAsia="仿宋" w:cs="仿宋"/>
                <w:sz w:val="32"/>
                <w:szCs w:val="32"/>
              </w:rPr>
              <w:t>综合单价</w:t>
            </w:r>
          </w:p>
        </w:tc>
      </w:tr>
    </w:tbl>
    <w:p>
      <w:pPr>
        <w:ind w:firstLine="640" w:firstLineChars="200"/>
        <w:rPr>
          <w:rFonts w:ascii="仿宋" w:hAnsi="仿宋" w:eastAsia="仿宋" w:cs="仿宋"/>
          <w:sz w:val="32"/>
          <w:szCs w:val="32"/>
        </w:rPr>
      </w:pPr>
      <w:r>
        <w:rPr>
          <w:rFonts w:hint="eastAsia" w:ascii="仿宋" w:hAnsi="仿宋" w:eastAsia="仿宋" w:cs="仿宋"/>
          <w:sz w:val="32"/>
          <w:szCs w:val="32"/>
        </w:rPr>
        <w:t>我公司已在报价前已充分进行了现场踏勘、测量、风险评估及工期提前等所有风险，按项目现场图纸设计要求提交以上报价。</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w:t>
      </w:r>
    </w:p>
    <w:p>
      <w:pPr>
        <w:ind w:firstLine="640" w:firstLineChars="200"/>
        <w:jc w:val="center"/>
        <w:rPr>
          <w:rFonts w:ascii="仿宋" w:hAnsi="仿宋" w:eastAsia="仿宋" w:cs="仿宋"/>
          <w:sz w:val="32"/>
          <w:szCs w:val="32"/>
        </w:rPr>
      </w:pPr>
      <w:r>
        <w:rPr>
          <w:rFonts w:hint="eastAsia" w:ascii="仿宋" w:hAnsi="仿宋" w:eastAsia="仿宋" w:cs="仿宋"/>
          <w:sz w:val="32"/>
          <w:szCs w:val="32"/>
        </w:rPr>
        <w:t xml:space="preserve">     报价公司（盖章/签字）：</w:t>
      </w:r>
    </w:p>
    <w:p>
      <w:pPr>
        <w:ind w:firstLine="4160" w:firstLineChars="1300"/>
        <w:rPr>
          <w:rFonts w:ascii="仿宋" w:hAnsi="仿宋" w:eastAsia="仿宋" w:cs="仿宋"/>
          <w:sz w:val="32"/>
          <w:szCs w:val="32"/>
        </w:rPr>
      </w:pPr>
      <w:r>
        <w:rPr>
          <w:rFonts w:hint="eastAsia" w:ascii="仿宋" w:hAnsi="仿宋" w:eastAsia="仿宋" w:cs="仿宋"/>
          <w:sz w:val="32"/>
          <w:szCs w:val="32"/>
        </w:rPr>
        <w:t>联系电话：</w:t>
      </w:r>
    </w:p>
    <w:p>
      <w:pPr>
        <w:ind w:firstLine="3200" w:firstLineChars="1000"/>
        <w:rPr>
          <w:rFonts w:ascii="仿宋" w:hAnsi="仿宋" w:eastAsia="仿宋" w:cs="仿宋"/>
          <w:sz w:val="32"/>
          <w:szCs w:val="32"/>
        </w:rPr>
      </w:pPr>
      <w:r>
        <w:rPr>
          <w:rFonts w:hint="eastAsia" w:ascii="仿宋" w:hAnsi="仿宋" w:eastAsia="仿宋" w:cs="仿宋"/>
          <w:sz w:val="32"/>
          <w:szCs w:val="32"/>
        </w:rPr>
        <w:t>2022年    月    日</w:t>
      </w: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spacing w:line="480" w:lineRule="exact"/>
        <w:jc w:val="center"/>
        <w:rPr>
          <w:rFonts w:ascii="黑体" w:hAnsi="黑体" w:eastAsia="黑体" w:cs="黑体"/>
          <w:bCs/>
          <w:sz w:val="44"/>
          <w:szCs w:val="44"/>
        </w:rPr>
      </w:pPr>
      <w:r>
        <w:rPr>
          <w:rFonts w:hint="eastAsia" w:ascii="黑体" w:hAnsi="黑体" w:eastAsia="黑体" w:cs="黑体"/>
          <w:bCs/>
          <w:sz w:val="44"/>
          <w:szCs w:val="44"/>
        </w:rPr>
        <w:t>承诺书</w:t>
      </w:r>
    </w:p>
    <w:p>
      <w:pPr>
        <w:spacing w:line="480" w:lineRule="exact"/>
        <w:jc w:val="center"/>
        <w:rPr>
          <w:rFonts w:ascii="黑体" w:hAnsi="黑体" w:eastAsia="黑体" w:cs="黑体"/>
          <w:bCs/>
          <w:sz w:val="44"/>
          <w:szCs w:val="44"/>
        </w:rPr>
      </w:pP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我单位为独立法人单位，我公司主要人员及其直系亲属均未有在会昌县恒茂建设发展集团有限责任公司（包括下属子公司）从业的记录以及不存在控股、管理关系和亲属等利害关系。</w:t>
      </w:r>
    </w:p>
    <w:p>
      <w:pPr>
        <w:ind w:firstLine="58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我公司对本承诺的真实性负责，并承担相应法律责任。</w:t>
      </w: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单位：（公章）</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年    月    日</w:t>
      </w:r>
    </w:p>
    <w:p>
      <w:pPr>
        <w:ind w:firstLine="640" w:firstLineChars="200"/>
        <w:jc w:val="right"/>
        <w:rPr>
          <w:rFonts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xODc1MmNhOTg5NjRmOTZkOWZmZmJlZTQwYjQ3MzMifQ=="/>
  </w:docVars>
  <w:rsids>
    <w:rsidRoot w:val="004660CE"/>
    <w:rsid w:val="00165031"/>
    <w:rsid w:val="004660CE"/>
    <w:rsid w:val="01141165"/>
    <w:rsid w:val="01501908"/>
    <w:rsid w:val="017F0AFB"/>
    <w:rsid w:val="017F23E3"/>
    <w:rsid w:val="01BC5813"/>
    <w:rsid w:val="01ED7E75"/>
    <w:rsid w:val="01F44DDE"/>
    <w:rsid w:val="02CD2E68"/>
    <w:rsid w:val="02D52AF4"/>
    <w:rsid w:val="044031CE"/>
    <w:rsid w:val="04D75B48"/>
    <w:rsid w:val="05F975F3"/>
    <w:rsid w:val="05FC1336"/>
    <w:rsid w:val="06246A06"/>
    <w:rsid w:val="06E1670D"/>
    <w:rsid w:val="071B72C1"/>
    <w:rsid w:val="07C02047"/>
    <w:rsid w:val="07C75183"/>
    <w:rsid w:val="07DC2970"/>
    <w:rsid w:val="087710DF"/>
    <w:rsid w:val="08C52F3A"/>
    <w:rsid w:val="0946657C"/>
    <w:rsid w:val="09B240A7"/>
    <w:rsid w:val="0A701785"/>
    <w:rsid w:val="0ABD0ABF"/>
    <w:rsid w:val="0B6F55A6"/>
    <w:rsid w:val="0BE55DB3"/>
    <w:rsid w:val="0D316F93"/>
    <w:rsid w:val="0D9F31AB"/>
    <w:rsid w:val="0E100F06"/>
    <w:rsid w:val="0E46525B"/>
    <w:rsid w:val="0F8A2E6C"/>
    <w:rsid w:val="10476F51"/>
    <w:rsid w:val="108D683E"/>
    <w:rsid w:val="11042690"/>
    <w:rsid w:val="11E931F7"/>
    <w:rsid w:val="12771554"/>
    <w:rsid w:val="12937E5A"/>
    <w:rsid w:val="135A1F83"/>
    <w:rsid w:val="13E1581F"/>
    <w:rsid w:val="142B55CD"/>
    <w:rsid w:val="15312A9E"/>
    <w:rsid w:val="15DE18EA"/>
    <w:rsid w:val="16C25E23"/>
    <w:rsid w:val="17700BC2"/>
    <w:rsid w:val="181F019F"/>
    <w:rsid w:val="18C61D26"/>
    <w:rsid w:val="19212219"/>
    <w:rsid w:val="199B021E"/>
    <w:rsid w:val="1A326011"/>
    <w:rsid w:val="1A775CF4"/>
    <w:rsid w:val="1B3567E9"/>
    <w:rsid w:val="1B4B5501"/>
    <w:rsid w:val="1B915189"/>
    <w:rsid w:val="1CD550E9"/>
    <w:rsid w:val="1CFC5477"/>
    <w:rsid w:val="1CFF72A4"/>
    <w:rsid w:val="1D550C0E"/>
    <w:rsid w:val="1DA13FB7"/>
    <w:rsid w:val="1E264941"/>
    <w:rsid w:val="1F000CDC"/>
    <w:rsid w:val="1FF61864"/>
    <w:rsid w:val="20101367"/>
    <w:rsid w:val="202251F5"/>
    <w:rsid w:val="205630F0"/>
    <w:rsid w:val="207104EF"/>
    <w:rsid w:val="209F425C"/>
    <w:rsid w:val="20B5129E"/>
    <w:rsid w:val="20CE0ED9"/>
    <w:rsid w:val="21A84DD5"/>
    <w:rsid w:val="21DA1AFF"/>
    <w:rsid w:val="22BE4F7D"/>
    <w:rsid w:val="22DE1E16"/>
    <w:rsid w:val="22E84032"/>
    <w:rsid w:val="24D33A69"/>
    <w:rsid w:val="256E5020"/>
    <w:rsid w:val="257D2ECD"/>
    <w:rsid w:val="26B17245"/>
    <w:rsid w:val="26C323AA"/>
    <w:rsid w:val="26CA44B5"/>
    <w:rsid w:val="2732523B"/>
    <w:rsid w:val="27401F01"/>
    <w:rsid w:val="27841796"/>
    <w:rsid w:val="27BE0330"/>
    <w:rsid w:val="27D62D8D"/>
    <w:rsid w:val="27E43289"/>
    <w:rsid w:val="28084AD4"/>
    <w:rsid w:val="28BC425F"/>
    <w:rsid w:val="28E374EB"/>
    <w:rsid w:val="28F46694"/>
    <w:rsid w:val="2A0153F7"/>
    <w:rsid w:val="2A7051A6"/>
    <w:rsid w:val="2ACD0453"/>
    <w:rsid w:val="2AE23455"/>
    <w:rsid w:val="2BBE1458"/>
    <w:rsid w:val="2CC15D95"/>
    <w:rsid w:val="2D6F4221"/>
    <w:rsid w:val="2E4E508B"/>
    <w:rsid w:val="2EB643B9"/>
    <w:rsid w:val="2F911A4F"/>
    <w:rsid w:val="2F9652B7"/>
    <w:rsid w:val="2FCF51D6"/>
    <w:rsid w:val="306A5E79"/>
    <w:rsid w:val="31395A20"/>
    <w:rsid w:val="31B7693E"/>
    <w:rsid w:val="31F14BB1"/>
    <w:rsid w:val="329B4E81"/>
    <w:rsid w:val="330F07D0"/>
    <w:rsid w:val="33560B95"/>
    <w:rsid w:val="33F56325"/>
    <w:rsid w:val="3490277D"/>
    <w:rsid w:val="34967B67"/>
    <w:rsid w:val="34D851A5"/>
    <w:rsid w:val="359466B9"/>
    <w:rsid w:val="35B9285B"/>
    <w:rsid w:val="36182EAA"/>
    <w:rsid w:val="36683C1F"/>
    <w:rsid w:val="37476CC9"/>
    <w:rsid w:val="374C12C3"/>
    <w:rsid w:val="37635B07"/>
    <w:rsid w:val="391A269D"/>
    <w:rsid w:val="39290665"/>
    <w:rsid w:val="3A540249"/>
    <w:rsid w:val="3A582007"/>
    <w:rsid w:val="3B1F3144"/>
    <w:rsid w:val="3B2E3644"/>
    <w:rsid w:val="3B366AE0"/>
    <w:rsid w:val="3B8A6EB2"/>
    <w:rsid w:val="3BA614BF"/>
    <w:rsid w:val="3BE95F29"/>
    <w:rsid w:val="3D6B4E22"/>
    <w:rsid w:val="3D75621E"/>
    <w:rsid w:val="3D9335F9"/>
    <w:rsid w:val="3DD7330F"/>
    <w:rsid w:val="3E100141"/>
    <w:rsid w:val="3E2F1ADA"/>
    <w:rsid w:val="3E8144DC"/>
    <w:rsid w:val="3F36353A"/>
    <w:rsid w:val="3F5643C7"/>
    <w:rsid w:val="3F98152E"/>
    <w:rsid w:val="3FA67C41"/>
    <w:rsid w:val="41791133"/>
    <w:rsid w:val="41F15E6C"/>
    <w:rsid w:val="423A5134"/>
    <w:rsid w:val="427621E8"/>
    <w:rsid w:val="42DD6902"/>
    <w:rsid w:val="44191BBB"/>
    <w:rsid w:val="441A414F"/>
    <w:rsid w:val="444B1319"/>
    <w:rsid w:val="45561F04"/>
    <w:rsid w:val="45AC7876"/>
    <w:rsid w:val="462A00B0"/>
    <w:rsid w:val="46C67DD9"/>
    <w:rsid w:val="46E77A47"/>
    <w:rsid w:val="46EB0A69"/>
    <w:rsid w:val="470E64DE"/>
    <w:rsid w:val="47CB7671"/>
    <w:rsid w:val="49845D29"/>
    <w:rsid w:val="49CD36F0"/>
    <w:rsid w:val="4AD72325"/>
    <w:rsid w:val="4B3D32B6"/>
    <w:rsid w:val="4B9132B3"/>
    <w:rsid w:val="4BD73F9D"/>
    <w:rsid w:val="4BED22AB"/>
    <w:rsid w:val="4C49612C"/>
    <w:rsid w:val="4C934FEF"/>
    <w:rsid w:val="4CE405DF"/>
    <w:rsid w:val="4D495813"/>
    <w:rsid w:val="4E2421D1"/>
    <w:rsid w:val="4E2A4E82"/>
    <w:rsid w:val="4E2D29F8"/>
    <w:rsid w:val="4F1E0265"/>
    <w:rsid w:val="503314C3"/>
    <w:rsid w:val="506759EB"/>
    <w:rsid w:val="506A612C"/>
    <w:rsid w:val="51003ECF"/>
    <w:rsid w:val="51532795"/>
    <w:rsid w:val="519F7883"/>
    <w:rsid w:val="51B15B29"/>
    <w:rsid w:val="51BC3509"/>
    <w:rsid w:val="52DD4E28"/>
    <w:rsid w:val="53202F66"/>
    <w:rsid w:val="533B1B4E"/>
    <w:rsid w:val="535624AA"/>
    <w:rsid w:val="54D97871"/>
    <w:rsid w:val="55284354"/>
    <w:rsid w:val="56322BCC"/>
    <w:rsid w:val="57983795"/>
    <w:rsid w:val="57A066D0"/>
    <w:rsid w:val="57E72C95"/>
    <w:rsid w:val="585B2199"/>
    <w:rsid w:val="59745D22"/>
    <w:rsid w:val="59E35ED0"/>
    <w:rsid w:val="5B6718A2"/>
    <w:rsid w:val="5C553A5A"/>
    <w:rsid w:val="5C9F2CFB"/>
    <w:rsid w:val="5CA70254"/>
    <w:rsid w:val="5CFF56AC"/>
    <w:rsid w:val="5D363C4D"/>
    <w:rsid w:val="5D613E0C"/>
    <w:rsid w:val="5DAB77EA"/>
    <w:rsid w:val="5E190F3A"/>
    <w:rsid w:val="5F6A62B3"/>
    <w:rsid w:val="5FB967DC"/>
    <w:rsid w:val="5FCA04E2"/>
    <w:rsid w:val="6038664F"/>
    <w:rsid w:val="60856088"/>
    <w:rsid w:val="61553B5A"/>
    <w:rsid w:val="617E041A"/>
    <w:rsid w:val="631C253B"/>
    <w:rsid w:val="63251ED3"/>
    <w:rsid w:val="64466571"/>
    <w:rsid w:val="64CC4DB7"/>
    <w:rsid w:val="64D82142"/>
    <w:rsid w:val="654B0D86"/>
    <w:rsid w:val="65F74891"/>
    <w:rsid w:val="666127F2"/>
    <w:rsid w:val="66E77FC5"/>
    <w:rsid w:val="67896ED4"/>
    <w:rsid w:val="67B657F0"/>
    <w:rsid w:val="68A56F66"/>
    <w:rsid w:val="68A576BD"/>
    <w:rsid w:val="68E91861"/>
    <w:rsid w:val="69E6130A"/>
    <w:rsid w:val="6A325C8D"/>
    <w:rsid w:val="6AF622C8"/>
    <w:rsid w:val="6B6844EE"/>
    <w:rsid w:val="6B7B2FD8"/>
    <w:rsid w:val="6BC06C3D"/>
    <w:rsid w:val="6BF14513"/>
    <w:rsid w:val="6CE67984"/>
    <w:rsid w:val="6D0715D4"/>
    <w:rsid w:val="6D29435E"/>
    <w:rsid w:val="6D35229F"/>
    <w:rsid w:val="6D385C16"/>
    <w:rsid w:val="6D592EA5"/>
    <w:rsid w:val="6E275208"/>
    <w:rsid w:val="6E385050"/>
    <w:rsid w:val="6E532A8D"/>
    <w:rsid w:val="6EE357AE"/>
    <w:rsid w:val="6F3E05A4"/>
    <w:rsid w:val="6F623985"/>
    <w:rsid w:val="6FD902CD"/>
    <w:rsid w:val="6FEB100D"/>
    <w:rsid w:val="70104913"/>
    <w:rsid w:val="70DE37C7"/>
    <w:rsid w:val="71066EA0"/>
    <w:rsid w:val="72F86CBC"/>
    <w:rsid w:val="732D134D"/>
    <w:rsid w:val="73314ED6"/>
    <w:rsid w:val="735D3AA8"/>
    <w:rsid w:val="73F1776E"/>
    <w:rsid w:val="743E4C56"/>
    <w:rsid w:val="74C23A26"/>
    <w:rsid w:val="74EE65C9"/>
    <w:rsid w:val="75717D36"/>
    <w:rsid w:val="75C54F41"/>
    <w:rsid w:val="76DF57AD"/>
    <w:rsid w:val="786A0221"/>
    <w:rsid w:val="788F66D6"/>
    <w:rsid w:val="796E2D97"/>
    <w:rsid w:val="7BB46A6D"/>
    <w:rsid w:val="7CCF418F"/>
    <w:rsid w:val="7D083AD3"/>
    <w:rsid w:val="7D0D15B6"/>
    <w:rsid w:val="7DC21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rPr>
  </w:style>
  <w:style w:type="paragraph" w:styleId="5">
    <w:name w:val="Body Text First Indent 2"/>
    <w:basedOn w:val="4"/>
    <w:qFormat/>
    <w:uiPriority w:val="0"/>
    <w:pPr>
      <w:ind w:firstLine="420" w:firstLineChars="200"/>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1472</Words>
  <Characters>1543</Characters>
  <Lines>12</Lines>
  <Paragraphs>3</Paragraphs>
  <TotalTime>13</TotalTime>
  <ScaleCrop>false</ScaleCrop>
  <LinksUpToDate>false</LinksUpToDate>
  <CharactersWithSpaces>1628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2022-08-02T07:06:00Z</cp:lastPrinted>
  <dcterms:modified xsi:type="dcterms:W3CDTF">2022-11-03T08:27:30Z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525A08F491FC4544A92AE91DC527C8DB</vt:lpwstr>
  </property>
</Properties>
</file>