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968"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968"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水泥稳定碎石层施工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968"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968"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2022年11月22日至2022年11月24日18点前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968"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）劳务不含材料，结算以实际工程量*单价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968"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r>
              <w:rPr>
                <w:rFonts w:hint="eastAsia" w:ascii="仿宋" w:hAnsi="仿宋" w:eastAsia="仿宋" w:cs="仿宋"/>
                <w:b w:val="0"/>
                <w:bCs w:val="0"/>
                <w:color w:val="FF0000"/>
                <w:sz w:val="28"/>
                <w:szCs w:val="28"/>
                <w:vertAlign w:val="baseline"/>
                <w:lang w:val="en-US" w:eastAsia="zh-CN"/>
              </w:rPr>
              <w:t>（报名发送营业执照扫描件至邮箱563014708@qq.com并备注报名内容）</w:t>
            </w:r>
            <w:r>
              <w:rPr>
                <w:rFonts w:hint="eastAsia" w:ascii="仿宋" w:hAnsi="仿宋" w:eastAsia="仿宋" w:cs="仿宋"/>
                <w:b w:val="0"/>
                <w:bCs w:val="0"/>
                <w:sz w:val="28"/>
                <w:szCs w:val="2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968"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2022年11月25号10时00分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w:t>
      </w:r>
      <w:r>
        <w:rPr>
          <w:rFonts w:hint="eastAsia" w:ascii="仿宋_GB2312" w:hAnsi="仿宋_GB2312" w:eastAsia="仿宋_GB2312" w:cs="仿宋_GB2312"/>
          <w:sz w:val="32"/>
          <w:szCs w:val="32"/>
          <w:lang w:eastAsia="zh-CN"/>
        </w:rPr>
        <w:t>缴纳</w:t>
      </w:r>
      <w:r>
        <w:rPr>
          <w:rFonts w:hint="eastAsia" w:ascii="仿宋_GB2312" w:hAnsi="仿宋_GB2312" w:eastAsia="仿宋_GB2312" w:cs="仿宋_GB2312"/>
          <w:sz w:val="32"/>
          <w:szCs w:val="32"/>
          <w:lang w:val="en-US" w:eastAsia="zh-CN"/>
        </w:rPr>
        <w:t>8%中标金额的履约</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，履约保证金需要以现金、转账等方式提供</w:t>
      </w:r>
      <w:bookmarkStart w:id="1" w:name="_GoBack"/>
      <w:bookmarkEnd w:id="1"/>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排水排污施工班组</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1、水稳基层概况</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本工程水泥稳定碎石基层总厚度</w:t>
      </w:r>
      <w:r>
        <w:rPr>
          <w:rFonts w:hint="eastAsia" w:ascii="仿宋_GB2312" w:hAnsi="仿宋_GB2312" w:eastAsia="仿宋_GB2312" w:cs="仿宋_GB2312"/>
          <w:sz w:val="28"/>
          <w:szCs w:val="28"/>
          <w:lang w:val="en-US" w:eastAsia="zh-CN"/>
        </w:rPr>
        <w:t>40</w:t>
      </w:r>
      <w:r>
        <w:rPr>
          <w:rFonts w:hint="default" w:ascii="仿宋_GB2312" w:hAnsi="仿宋_GB2312" w:eastAsia="仿宋_GB2312" w:cs="仿宋_GB2312"/>
          <w:sz w:val="28"/>
          <w:szCs w:val="28"/>
          <w:lang w:eastAsia="zh-CN"/>
        </w:rPr>
        <w:t>cm，水稳下基层，厚度为</w:t>
      </w:r>
      <w:r>
        <w:rPr>
          <w:rFonts w:hint="eastAsia" w:ascii="仿宋_GB2312" w:hAnsi="仿宋_GB2312" w:eastAsia="仿宋_GB2312" w:cs="仿宋_GB2312"/>
          <w:sz w:val="28"/>
          <w:szCs w:val="28"/>
          <w:lang w:val="en-US" w:eastAsia="zh-CN"/>
        </w:rPr>
        <w:t>20</w:t>
      </w:r>
      <w:r>
        <w:rPr>
          <w:rFonts w:hint="default" w:ascii="仿宋_GB2312" w:hAnsi="仿宋_GB2312" w:eastAsia="仿宋_GB2312" w:cs="仿宋_GB2312"/>
          <w:sz w:val="28"/>
          <w:szCs w:val="28"/>
          <w:lang w:eastAsia="zh-CN"/>
        </w:rPr>
        <w:t>cm，上基层厚度为</w:t>
      </w:r>
      <w:r>
        <w:rPr>
          <w:rFonts w:hint="eastAsia" w:ascii="仿宋_GB2312" w:hAnsi="仿宋_GB2312" w:eastAsia="仿宋_GB2312" w:cs="仿宋_GB2312"/>
          <w:sz w:val="28"/>
          <w:szCs w:val="28"/>
          <w:lang w:val="en-US" w:eastAsia="zh-CN"/>
        </w:rPr>
        <w:t>20</w:t>
      </w:r>
      <w:r>
        <w:rPr>
          <w:rFonts w:hint="default" w:ascii="仿宋_GB2312" w:hAnsi="仿宋_GB2312" w:eastAsia="仿宋_GB2312" w:cs="仿宋_GB2312"/>
          <w:sz w:val="28"/>
          <w:szCs w:val="28"/>
          <w:lang w:eastAsia="zh-CN"/>
        </w:rPr>
        <w:t>cm。下基层与上基层施工工艺及流程一致。</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2、施工工艺流程</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val="en-US" w:eastAsia="zh-CN"/>
        </w:rPr>
        <w:drawing>
          <wp:anchor distT="0" distB="0" distL="114935" distR="114935" simplePos="0" relativeHeight="251659264" behindDoc="0" locked="0" layoutInCell="1" allowOverlap="1">
            <wp:simplePos x="0" y="0"/>
            <wp:positionH relativeFrom="column">
              <wp:posOffset>-370840</wp:posOffset>
            </wp:positionH>
            <wp:positionV relativeFrom="paragraph">
              <wp:posOffset>488315</wp:posOffset>
            </wp:positionV>
            <wp:extent cx="6096000" cy="4333875"/>
            <wp:effectExtent l="0" t="0" r="0" b="9525"/>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4333875"/>
                    </a:xfrm>
                    <a:prstGeom prst="rect">
                      <a:avLst/>
                    </a:prstGeom>
                    <a:noFill/>
                    <a:ln w="9525">
                      <a:noFill/>
                    </a:ln>
                  </pic:spPr>
                </pic:pic>
              </a:graphicData>
            </a:graphic>
          </wp:anchor>
        </w:drawing>
      </w:r>
      <w:r>
        <w:rPr>
          <w:rFonts w:hint="default" w:ascii="仿宋_GB2312" w:hAnsi="仿宋_GB2312" w:eastAsia="仿宋_GB2312" w:cs="仿宋_GB2312"/>
          <w:sz w:val="28"/>
          <w:szCs w:val="28"/>
          <w:lang w:eastAsia="zh-CN"/>
        </w:rPr>
        <w:t>施工准备→水稳碎石混合料拌制→混合料运输→摊铺机摊铺、压路机碾压→试验室检测压实度→设置横缝→养生→成品检测。</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3、施工方法</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3.1下承层的准备</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施工前对下承层弯沉、压实度、平整度、高程、横坡及宽度进行检测，合格后进行下一步施工。并对下承层进行清扫，洒水保证下承层顶面湿润。</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3.2测量放样</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1）按设计图纸对施工路段进行中线恢复，并放出相应边桩位置，在半幅纵向直线段每隔10米放出打钉子（系红布条）作为指示桩，在半幅纵向平曲线段段每隔5米放出打钉子（系红布条）作为指示桩，在钉子内侧30～40cm处打钢钎，使钢钎支架凹口位于钉子正上方，测量钉子位的高程，并根据该点位的挂线标高、钉子高程的高差及铝合金高度调整钢钎支架使其达到预期要求。</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（2）采用直径不小于2mm的钢丝绳作为导线，两端用紧线器进行固定，紧线器张力不小于800N，钢钎打入深度不小于10cm，钢丝绳放于钢钎支架凹口中，并用细扎丝固定。</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（3）钢丝绳张紧完成以后，由测量人员把其固定在钢筋桩横杆的凹槽内用扎丝绑牢，接着调整横杆使钢丝绳平面位置等于下基层压实厚度乘以松铺系数加上摊铺机基准相对标高，基层松铺系数为1.25。</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（4）高程测设由水准仪进行，首先测设下承层高程，然后测设出对应桩号水泥稳定碎石基层的松铺高程，最后在碾压完成后测量基层顶高程（三次测量为同桩号、同偏距）。通过三次测量数据计算出松铺系数。</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摊铺混合料</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（1）摊铺前下承表面应适量洒水，保持湿润。采用1台徐工RP1655摊铺机进行摊铺。在摊铺过程中，速度为1.5m/min～1.8 m/min，水泥稳定碎石基层在开始摊铺3～6米长时，现场技术人员立即检测摊铺面的标高及横坡，合格后，再继续摊铺。正常施工时，摊铺机每前进10米，检测水泥稳定碎石基层摊铺顶面标高，检测位置同路基顶面检测位置，记录下数据，并根据之前测量的下承层顶面标高计算出松铺厚度及横坡度。同时设专人检测摊铺平整度,不合格时,立即进行调整并记录。</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2）在摊铺过程中，摊铺机推动汽车前进，逐车摊铺，卸料时运输车驾驶员听从现场指挥人员的指挥，不得随意移动车辆。摊铺机起步行走速度控制在0.5～0.8m/min，正常后(即高程、平整度等指标合格后)的摊铺机行走速度根据拌和站拌和能力来确定摊铺速度，以避免摊铺机停机待料的情况发生。施工过程中摊铺机前方保证最少有2～3辆运料车在等候卸料。准备开始摊铺时，在施工现场等候卸料的运料车最少有4辆车。摊铺机螺旋控制到合适高度，保证2/3埋置于混合料中。</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（3）有出现局部离析现象时，及时采用人工消除。铲除局部粗集料“窝”，用细料进行修补。离析严重的部位，按照“方补原则”进行换填，并保证换填部位松铺度与周边一致，并且处理后表面平整。</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（4）正常摊铺时，不得随意调整夯板的震捣频率与铺机熨平板仰角。摊铺过程中严禁收斗，每工班摊铺结束时料斗内粘附的余料废弃，清理出路线施工范围内。</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lang w:eastAsia="zh-CN"/>
        </w:rPr>
        <w:t>碾压</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混合料摊铺成型一段距离后立即在全宽范围内碾压施工，碾压长度确定为20～30m 碾压段落较为适宜。碾压段落层次分明，设置明显的分界标志，碾压遵循试验路段确定的程序与工艺，遵循由低到高、先轻后重、先慢后快、先静压后振压的碾压原则。直线段由两侧向中心碾压；超高段由内侧向外侧碾压。每道碾压与上道碾压相重叠1/3 轮宽，使每层均匀压实，同时确保机械能够压实到位。压实后用轮胎压路机赶光、收面，以表面无轮迹、隆起，铺面均匀平整为准。碾压遍数为8 遍。采用双钢轮压路机稳压1遍，紧接着复压采用22t的单钢轮振动压路机弱振1 遍，强振2遍，弱振1遍。路面的两侧和摊铺机纵向接缝处比路中多振压（弱振）1 遍，以保证边部及接缝处压实度，终压用30t以上的胶轮压路机静压2 遍双钢轮静压1遍，消除轮迹。压路机应从路外侧向路内侧碾压，碾压带应重叠1/2轮宽，纵向重叠1.0～1.5m压完全幅为一遍。 初压速度1.5～1.7km,复压2～2.2km。</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在碾压过程中每个碾压段落接头处应错成横向300～400cm 的阶梯状，在下一碾压段开始碾压之前首先用双钢轮压路机对阶梯状部位斜向碾压，进而减小两个碾压段落的拥包问题，更好的保证整体施工段落的平整度。</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混合料含水率等于或略高于最佳含水率时易于压实，因此要及时完成碾压作业。为保证摊铺层的强度和压实度，一般情况下，控制混合料从拌合到碾压完毕的时间不超过水泥的初凝时间。碾压过程中，如出现“弹簧”、松散等现象，及时用合格的均匀混合料换填，以使其达到质量要求。在压实过程中，禁止压路机在碾压路段调头和急刹车，以保证结构层稳定和不受破坏。振动压路机在停机过程中须先停振再停机。胶轮压路机要加满水碾压,在表面失水过多时要补水碾压。</w:t>
      </w:r>
    </w:p>
    <w:p>
      <w:pPr>
        <w:numPr>
          <w:ilvl w:val="0"/>
          <w:numId w:val="0"/>
        </w:num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lang w:eastAsia="zh-CN"/>
        </w:rPr>
        <w:t>养生及交通管制</w:t>
      </w:r>
    </w:p>
    <w:p>
      <w:pPr>
        <w:numPr>
          <w:ilvl w:val="0"/>
          <w:numId w:val="0"/>
        </w:numPr>
        <w:ind w:leftChars="0" w:firstLine="560" w:firstLineChars="200"/>
        <w:jc w:val="left"/>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（1）养生方法采用土工布覆盖洒水养生，统一用定制的20*30cm的小布袋配小米石压土工布，横向覆盖的间距不大于5m，纵向覆盖的间距不大于10m，洒水养生7天。</w:t>
      </w:r>
    </w:p>
    <w:p>
      <w:pPr>
        <w:numPr>
          <w:ilvl w:val="0"/>
          <w:numId w:val="0"/>
        </w:numPr>
        <w:ind w:leftChars="0" w:firstLine="560" w:firstLineChars="200"/>
        <w:jc w:val="left"/>
        <w:rPr>
          <w:rFonts w:hint="default" w:ascii="仿宋_GB2312" w:hAnsi="仿宋_GB2312" w:eastAsia="仿宋_GB2312" w:cs="仿宋_GB2312"/>
          <w:sz w:val="28"/>
          <w:szCs w:val="28"/>
          <w:lang w:eastAsia="zh-CN"/>
        </w:rPr>
      </w:pPr>
      <w:r>
        <w:rPr>
          <w:rFonts w:hint="default" w:ascii="仿宋_GB2312" w:hAnsi="仿宋_GB2312" w:eastAsia="仿宋_GB2312" w:cs="仿宋_GB2312"/>
          <w:sz w:val="28"/>
          <w:szCs w:val="28"/>
          <w:lang w:eastAsia="zh-CN"/>
        </w:rPr>
        <w:t>（2）养生期间，封闭交通，除洒水车外不得通车。养生期满验收合格后尽快进行下基层施工。</w:t>
      </w:r>
    </w:p>
    <w:p>
      <w:pPr>
        <w:pStyle w:val="2"/>
        <w:rPr>
          <w:rFonts w:hint="default" w:ascii="仿宋_GB2312" w:hAnsi="仿宋_GB2312" w:eastAsia="仿宋_GB2312" w:cs="仿宋_GB2312"/>
          <w:sz w:val="28"/>
          <w:szCs w:val="28"/>
          <w:lang w:eastAsia="zh-CN"/>
        </w:rPr>
      </w:pPr>
    </w:p>
    <w:p>
      <w:pPr>
        <w:pStyle w:val="2"/>
        <w:numPr>
          <w:ilvl w:val="0"/>
          <w:numId w:val="1"/>
        </w:numPr>
        <w:ind w:left="0" w:leftChars="0" w:firstLine="0" w:firstLineChars="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特别要求</w:t>
      </w:r>
    </w:p>
    <w:p>
      <w:pPr>
        <w:pStyle w:val="2"/>
        <w:numPr>
          <w:ilvl w:val="0"/>
          <w:numId w:val="0"/>
        </w:numPr>
        <w:ind w:leftChars="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九二大道K0+000-K0+400段需提前实施，工期较紧，需在路基检测完毕后2天内完成水泥稳定碎石层的摊铺工作，400米水泥稳定碎石层约2880m3混合料，中标单位需提前准备施工所需的材料、摊铺机、施工队伍及配套运输车辆，确保该施工段顺利完成。对于未按时完成的班组处于5000元/日的处罚金。</w:t>
      </w:r>
    </w:p>
    <w:p>
      <w:pPr>
        <w:rPr>
          <w:rFonts w:hint="eastAsia" w:ascii="仿宋_GB2312" w:hAnsi="仿宋_GB2312" w:eastAsia="仿宋_GB2312" w:cs="仿宋_GB2312"/>
          <w:b/>
          <w:bCs/>
          <w:sz w:val="32"/>
          <w:szCs w:val="32"/>
          <w:lang w:val="en-US" w:eastAsia="zh-CN"/>
        </w:rPr>
      </w:pPr>
      <w:r>
        <w:rPr>
          <w:rFonts w:hint="eastAsia" w:ascii="仿宋" w:hAnsi="仿宋" w:eastAsia="仿宋" w:cs="仿宋"/>
          <w:sz w:val="28"/>
          <w:szCs w:val="28"/>
          <w:lang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9"/>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5.5%水泥稳定碎石层</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104</w:t>
            </w:r>
          </w:p>
        </w:tc>
        <w:tc>
          <w:tcPr>
            <w:tcW w:w="1109"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668720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提供5.5%水泥稳定碎石拌合料，含摊铺、养护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3%水泥稳定碎石层</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6570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w:t>
            </w:r>
          </w:p>
        </w:tc>
        <w:tc>
          <w:tcPr>
            <w:tcW w:w="1109"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657000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提供3%水泥稳定碎石拌合料，含摊铺、养护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default"/>
                <w:lang w:val="en-US" w:eastAsia="zh-CN"/>
              </w:rPr>
            </w:pPr>
            <w:r>
              <w:rPr>
                <w:rFonts w:hint="eastAsia" w:ascii="楷体" w:hAnsi="楷体" w:eastAsia="楷体" w:cs="楷体"/>
                <w:i w:val="0"/>
                <w:iCs w:val="0"/>
                <w:color w:val="000000"/>
                <w:kern w:val="0"/>
                <w:sz w:val="24"/>
                <w:szCs w:val="24"/>
                <w:u w:val="none"/>
                <w:lang w:val="en-US" w:eastAsia="zh-CN" w:bidi="ar"/>
              </w:rPr>
              <w:t>1325720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含3%增值税专票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9"/>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5.5%水泥稳定碎石层</w:t>
            </w:r>
          </w:p>
        </w:tc>
        <w:tc>
          <w:tcPr>
            <w:tcW w:w="109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6430</w:t>
            </w:r>
          </w:p>
        </w:tc>
        <w:tc>
          <w:tcPr>
            <w:tcW w:w="720"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吨</w:t>
            </w:r>
          </w:p>
        </w:tc>
        <w:tc>
          <w:tcPr>
            <w:tcW w:w="97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104</w:t>
            </w:r>
          </w:p>
        </w:tc>
        <w:tc>
          <w:tcPr>
            <w:tcW w:w="1109"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提供5.5%水泥稳定碎石拌合料，含摊铺、养护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3%水泥稳定碎石层</w:t>
            </w:r>
          </w:p>
        </w:tc>
        <w:tc>
          <w:tcPr>
            <w:tcW w:w="109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6570</w:t>
            </w:r>
          </w:p>
        </w:tc>
        <w:tc>
          <w:tcPr>
            <w:tcW w:w="720"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吨</w:t>
            </w:r>
          </w:p>
        </w:tc>
        <w:tc>
          <w:tcPr>
            <w:tcW w:w="97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100</w:t>
            </w:r>
          </w:p>
        </w:tc>
        <w:tc>
          <w:tcPr>
            <w:tcW w:w="1109"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提供3%水泥稳定碎石拌合料，含摊铺、养护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0A103A"/>
    <w:multiLevelType w:val="singleLevel"/>
    <w:tmpl w:val="B50A103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7E75082"/>
    <w:rsid w:val="087710DF"/>
    <w:rsid w:val="08C52F3A"/>
    <w:rsid w:val="08DF77F6"/>
    <w:rsid w:val="0A701785"/>
    <w:rsid w:val="0B6F55A6"/>
    <w:rsid w:val="0D316F93"/>
    <w:rsid w:val="0E46525B"/>
    <w:rsid w:val="11E931F7"/>
    <w:rsid w:val="181F019F"/>
    <w:rsid w:val="18C630DC"/>
    <w:rsid w:val="1D550C0E"/>
    <w:rsid w:val="1DA13FB7"/>
    <w:rsid w:val="1FE74B4E"/>
    <w:rsid w:val="207104EF"/>
    <w:rsid w:val="21A84DD5"/>
    <w:rsid w:val="2338088B"/>
    <w:rsid w:val="24954C56"/>
    <w:rsid w:val="24D33A69"/>
    <w:rsid w:val="257A536A"/>
    <w:rsid w:val="26B17245"/>
    <w:rsid w:val="26BF2C80"/>
    <w:rsid w:val="26C323AA"/>
    <w:rsid w:val="28084AD4"/>
    <w:rsid w:val="28F46694"/>
    <w:rsid w:val="2D6F4221"/>
    <w:rsid w:val="2ED71532"/>
    <w:rsid w:val="2FCF51D6"/>
    <w:rsid w:val="31B7693E"/>
    <w:rsid w:val="31FB517F"/>
    <w:rsid w:val="329B4E81"/>
    <w:rsid w:val="34967B67"/>
    <w:rsid w:val="355114B6"/>
    <w:rsid w:val="35B9285B"/>
    <w:rsid w:val="374C12C3"/>
    <w:rsid w:val="37635B07"/>
    <w:rsid w:val="3A582007"/>
    <w:rsid w:val="3AB930EE"/>
    <w:rsid w:val="3B1F3144"/>
    <w:rsid w:val="3D9335F9"/>
    <w:rsid w:val="3F98152E"/>
    <w:rsid w:val="41B97BA0"/>
    <w:rsid w:val="427621E8"/>
    <w:rsid w:val="441A414F"/>
    <w:rsid w:val="45AC7876"/>
    <w:rsid w:val="47237853"/>
    <w:rsid w:val="4BD73F9D"/>
    <w:rsid w:val="4CE405DF"/>
    <w:rsid w:val="4D902178"/>
    <w:rsid w:val="4E2A4E82"/>
    <w:rsid w:val="4E2D29F8"/>
    <w:rsid w:val="506759EB"/>
    <w:rsid w:val="51BC3509"/>
    <w:rsid w:val="52374280"/>
    <w:rsid w:val="5B6718A2"/>
    <w:rsid w:val="5BE56EF9"/>
    <w:rsid w:val="5C9F2CFB"/>
    <w:rsid w:val="5D363C4D"/>
    <w:rsid w:val="5D613E0C"/>
    <w:rsid w:val="5E190F3A"/>
    <w:rsid w:val="5FB967DC"/>
    <w:rsid w:val="6038664F"/>
    <w:rsid w:val="631C253B"/>
    <w:rsid w:val="68A576BD"/>
    <w:rsid w:val="6B7B2FD8"/>
    <w:rsid w:val="6E275208"/>
    <w:rsid w:val="6E532A8D"/>
    <w:rsid w:val="6E545EC9"/>
    <w:rsid w:val="735D3AA8"/>
    <w:rsid w:val="76257DC8"/>
    <w:rsid w:val="76A60A20"/>
    <w:rsid w:val="76C715AC"/>
    <w:rsid w:val="76DF57AD"/>
    <w:rsid w:val="784309DA"/>
    <w:rsid w:val="786A0221"/>
    <w:rsid w:val="7D060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customStyle="1" w:styleId="12">
    <w:name w:val="font41"/>
    <w:basedOn w:val="10"/>
    <w:qFormat/>
    <w:uiPriority w:val="0"/>
    <w:rPr>
      <w:rFonts w:hint="eastAsia" w:ascii="宋体" w:hAnsi="宋体" w:eastAsia="宋体" w:cs="宋体"/>
      <w:color w:val="000000"/>
      <w:sz w:val="18"/>
      <w:szCs w:val="18"/>
      <w:u w:val="none"/>
    </w:rPr>
  </w:style>
  <w:style w:type="character" w:customStyle="1" w:styleId="13">
    <w:name w:val="font31"/>
    <w:basedOn w:val="10"/>
    <w:qFormat/>
    <w:uiPriority w:val="0"/>
    <w:rPr>
      <w:rFonts w:hint="default" w:ascii="Times New Roman" w:hAnsi="Times New Roman" w:cs="Times New Roman"/>
      <w:color w:val="000000"/>
      <w:sz w:val="18"/>
      <w:szCs w:val="18"/>
      <w:u w:val="none"/>
    </w:rPr>
  </w:style>
  <w:style w:type="paragraph" w:customStyle="1" w:styleId="14">
    <w:name w:val="Body Text Indent"/>
    <w:basedOn w:val="1"/>
    <w:next w:val="15"/>
    <w:qFormat/>
    <w:uiPriority w:val="0"/>
    <w:pPr>
      <w:spacing w:after="120" w:afterLines="0"/>
      <w:ind w:left="420" w:leftChars="200"/>
    </w:pPr>
    <w:rPr>
      <w:rFonts w:eastAsia="宋体" w:cs="Times New Roman"/>
      <w:sz w:val="21"/>
    </w:rPr>
  </w:style>
  <w:style w:type="paragraph" w:customStyle="1" w:styleId="15">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3699</Words>
  <Characters>3984</Characters>
  <Lines>0</Lines>
  <Paragraphs>0</Paragraphs>
  <TotalTime>6</TotalTime>
  <ScaleCrop>false</ScaleCrop>
  <LinksUpToDate>false</LinksUpToDate>
  <CharactersWithSpaces>4102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2022-11-22T10:12:33Z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AF5B67995CD74A0A851B07720CF06B0D</vt:lpwstr>
  </property>
</Properties>
</file>