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6"/>
          <w:szCs w:val="36"/>
        </w:rPr>
      </w:pPr>
      <w:r>
        <w:rPr>
          <w:rFonts w:hint="eastAsia"/>
          <w:b/>
          <w:bCs/>
          <w:sz w:val="36"/>
          <w:szCs w:val="36"/>
        </w:rPr>
        <w:t xml:space="preserve"> </w:t>
      </w:r>
      <w:r>
        <w:rPr>
          <w:rFonts w:hint="eastAsia" w:ascii="宋体" w:hAnsi="宋体" w:eastAsia="宋体" w:cs="宋体"/>
          <w:b/>
          <w:bCs/>
          <w:sz w:val="36"/>
          <w:szCs w:val="36"/>
        </w:rPr>
        <w:t>会昌县夜游湘江文化旅游基础设施建设</w:t>
      </w:r>
      <w:r>
        <w:rPr>
          <w:rFonts w:hint="eastAsia" w:ascii="宋体" w:hAnsi="宋体" w:eastAsia="宋体" w:cs="宋体"/>
          <w:b/>
          <w:bCs/>
          <w:sz w:val="36"/>
          <w:szCs w:val="36"/>
          <w:lang w:eastAsia="zh-CN"/>
        </w:rPr>
        <w:t>景观廊桥</w:t>
      </w:r>
      <w:r>
        <w:rPr>
          <w:rFonts w:hint="eastAsia" w:ascii="宋体" w:hAnsi="宋体" w:eastAsia="宋体" w:cs="宋体"/>
          <w:b/>
          <w:bCs/>
          <w:sz w:val="36"/>
          <w:szCs w:val="36"/>
        </w:rPr>
        <w:t>项目</w:t>
      </w:r>
      <w:r>
        <w:rPr>
          <w:rFonts w:hint="eastAsia" w:ascii="宋体" w:hAnsi="宋体" w:eastAsia="宋体" w:cs="宋体"/>
          <w:b/>
          <w:bCs/>
          <w:sz w:val="36"/>
          <w:szCs w:val="36"/>
          <w:lang w:val="en-US" w:eastAsia="zh-CN"/>
        </w:rPr>
        <w:t>地勘</w:t>
      </w: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项目名</w:t>
            </w:r>
            <w:bookmarkStart w:id="1" w:name="_GoBack"/>
            <w:bookmarkEnd w:id="1"/>
            <w:r>
              <w:rPr>
                <w:rFonts w:hint="eastAsia" w:ascii="仿宋" w:hAnsi="仿宋" w:eastAsia="仿宋" w:cs="仿宋"/>
                <w:sz w:val="32"/>
                <w:szCs w:val="32"/>
              </w:rPr>
              <w:t>称</w:t>
            </w:r>
          </w:p>
        </w:tc>
        <w:tc>
          <w:tcPr>
            <w:tcW w:w="7020" w:type="dxa"/>
            <w:vAlign w:val="center"/>
          </w:tcPr>
          <w:p>
            <w:pPr>
              <w:adjustRightInd w:val="0"/>
              <w:spacing w:line="360" w:lineRule="auto"/>
              <w:jc w:val="center"/>
              <w:rPr>
                <w:rFonts w:hint="eastAsia" w:ascii="仿宋" w:hAnsi="仿宋" w:eastAsia="仿宋" w:cs="仿宋"/>
                <w:sz w:val="32"/>
                <w:szCs w:val="32"/>
              </w:rPr>
            </w:pPr>
            <w:r>
              <w:rPr>
                <w:rFonts w:hint="eastAsia" w:ascii="仿宋" w:hAnsi="仿宋" w:eastAsia="仿宋" w:cs="仿宋"/>
                <w:sz w:val="32"/>
                <w:szCs w:val="28"/>
              </w:rPr>
              <w:t>会昌县夜游湘江文化旅游基础设施建设项目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b w:val="0"/>
                <w:bCs w:val="0"/>
                <w:sz w:val="32"/>
                <w:szCs w:val="32"/>
              </w:rPr>
              <w:t>会昌县夜游湘江文化旅游基础设施</w:t>
            </w:r>
            <w:r>
              <w:rPr>
                <w:rFonts w:hint="eastAsia" w:ascii="仿宋" w:hAnsi="仿宋" w:eastAsia="仿宋" w:cs="仿宋"/>
                <w:b w:val="0"/>
                <w:bCs w:val="0"/>
                <w:sz w:val="32"/>
                <w:szCs w:val="32"/>
                <w:lang w:eastAsia="zh-CN"/>
              </w:rPr>
              <w:t>景观廊桥地勘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hint="eastAsia"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检测方法和检测数量详见《地质勘查坑探规程 GB 3787》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hint="eastAsia" w:ascii="仿宋" w:hAnsi="仿宋" w:eastAsia="仿宋" w:cs="仿宋"/>
                <w:b/>
                <w:bCs/>
                <w:sz w:val="32"/>
                <w:szCs w:val="32"/>
              </w:rPr>
            </w:pPr>
            <w:r>
              <w:rPr>
                <w:rFonts w:hint="eastAsia" w:ascii="仿宋" w:hAnsi="仿宋" w:eastAsia="仿宋" w:cs="仿宋"/>
                <w:sz w:val="32"/>
                <w:szCs w:val="32"/>
              </w:rPr>
              <w:t>1.根据</w:t>
            </w:r>
            <w:r>
              <w:rPr>
                <w:rFonts w:hint="eastAsia" w:ascii="仿宋" w:hAnsi="仿宋" w:eastAsia="仿宋" w:cs="仿宋"/>
                <w:sz w:val="32"/>
                <w:szCs w:val="32"/>
                <w:lang w:val="en-US" w:eastAsia="zh-CN"/>
              </w:rPr>
              <w:t>地勘</w:t>
            </w:r>
            <w:r>
              <w:rPr>
                <w:rFonts w:hint="eastAsia" w:ascii="仿宋" w:hAnsi="仿宋" w:eastAsia="仿宋" w:cs="仿宋"/>
                <w:sz w:val="32"/>
                <w:szCs w:val="32"/>
              </w:rPr>
              <w:t>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hint="eastAsia"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14</w:t>
            </w:r>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17</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hint="eastAsia" w:ascii="仿宋" w:hAnsi="仿宋" w:eastAsia="仿宋" w:cs="仿宋"/>
                <w:sz w:val="32"/>
                <w:szCs w:val="32"/>
              </w:rPr>
            </w:pPr>
            <w:r>
              <w:rPr>
                <w:rFonts w:hint="eastAsia" w:ascii="仿宋" w:hAnsi="仿宋" w:eastAsia="仿宋" w:cs="仿宋"/>
                <w:sz w:val="32"/>
                <w:szCs w:val="32"/>
              </w:rPr>
              <w:t>在完成</w:t>
            </w:r>
            <w:r>
              <w:rPr>
                <w:rFonts w:hint="eastAsia" w:ascii="仿宋" w:hAnsi="仿宋" w:eastAsia="仿宋" w:cs="仿宋"/>
                <w:sz w:val="32"/>
                <w:szCs w:val="32"/>
                <w:lang w:val="en-US" w:eastAsia="zh-CN"/>
              </w:rPr>
              <w:t>地勘</w:t>
            </w:r>
            <w:r>
              <w:rPr>
                <w:rFonts w:hint="eastAsia" w:ascii="仿宋" w:hAnsi="仿宋" w:eastAsia="仿宋" w:cs="仿宋"/>
                <w:sz w:val="32"/>
                <w:szCs w:val="32"/>
              </w:rPr>
              <w:t>和出具</w:t>
            </w:r>
            <w:r>
              <w:rPr>
                <w:rFonts w:hint="eastAsia" w:ascii="仿宋" w:hAnsi="仿宋" w:eastAsia="仿宋" w:cs="仿宋"/>
                <w:sz w:val="32"/>
                <w:szCs w:val="32"/>
                <w:lang w:val="en-US" w:eastAsia="zh-CN"/>
              </w:rPr>
              <w:t>地勘</w:t>
            </w:r>
            <w:r>
              <w:rPr>
                <w:rFonts w:hint="eastAsia" w:ascii="仿宋" w:hAnsi="仿宋" w:eastAsia="仿宋" w:cs="仿宋"/>
                <w:sz w:val="32"/>
                <w:szCs w:val="32"/>
              </w:rPr>
              <w:t>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王金13064125163</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17</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集团询价小组进行现场拆封各投标人报价文件，审核各投标人资质，按低价原则确定服务机构，项目开标邀请集团监事会主席全程参与见证。</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w:t>
      </w:r>
      <w:r>
        <w:rPr>
          <w:rFonts w:hint="eastAsia" w:ascii="仿宋" w:hAnsi="仿宋" w:eastAsia="仿宋" w:cs="仿宋"/>
          <w:sz w:val="32"/>
          <w:szCs w:val="32"/>
          <w:lang w:val="en-US" w:eastAsia="zh-CN"/>
        </w:rPr>
        <w:t>1</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w:t>
      </w:r>
      <w:r>
        <w:rPr>
          <w:rFonts w:hint="eastAsia" w:ascii="仿宋" w:hAnsi="仿宋" w:eastAsia="仿宋" w:cs="仿宋"/>
          <w:sz w:val="32"/>
          <w:szCs w:val="32"/>
          <w:lang w:val="en-US" w:eastAsia="zh-CN"/>
        </w:rPr>
        <w:t>2</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1.4、中标公示</w:t>
      </w:r>
      <w:r>
        <w:rPr>
          <w:rFonts w:hint="eastAsia" w:ascii="仿宋" w:hAnsi="仿宋" w:eastAsia="仿宋" w:cs="仿宋"/>
          <w:sz w:val="32"/>
          <w:szCs w:val="32"/>
          <w:lang w:val="en-US" w:eastAsia="zh-CN"/>
        </w:rPr>
        <w:t>3</w:t>
      </w:r>
      <w:r>
        <w:rPr>
          <w:rFonts w:hint="eastAsia" w:ascii="仿宋" w:hAnsi="仿宋" w:eastAsia="仿宋" w:cs="仿宋"/>
          <w:sz w:val="32"/>
          <w:szCs w:val="32"/>
        </w:rPr>
        <w:t>天后5天内签订合同，签订合同后要在3天日内需进场开展工作</w:t>
      </w:r>
      <w:r>
        <w:rPr>
          <w:rFonts w:hint="eastAsia" w:ascii="仿宋" w:hAnsi="仿宋" w:eastAsia="仿宋" w:cs="仿宋"/>
          <w:sz w:val="32"/>
          <w:szCs w:val="32"/>
          <w:lang w:eastAsia="zh-CN"/>
        </w:rPr>
        <w:t>。</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地勘</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jc w:val="left"/>
        <w:rPr>
          <w:rFonts w:ascii="仿宋" w:hAnsi="仿宋" w:eastAsia="仿宋" w:cs="仿宋"/>
          <w:b/>
          <w:bCs/>
          <w:sz w:val="32"/>
          <w:szCs w:val="32"/>
        </w:rPr>
      </w:pPr>
      <w:r>
        <w:rPr>
          <w:rFonts w:hint="eastAsia" w:ascii="仿宋" w:hAnsi="仿宋" w:eastAsia="仿宋" w:cs="仿宋"/>
          <w:b/>
          <w:bCs/>
          <w:sz w:val="32"/>
          <w:szCs w:val="32"/>
        </w:rPr>
        <w:t>四、工程量及控制价</w:t>
      </w:r>
    </w:p>
    <w:p>
      <w:pPr>
        <w:ind w:firstLine="321" w:firstLineChars="100"/>
        <w:jc w:val="left"/>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1、工程量</w:t>
      </w:r>
    </w:p>
    <w:p>
      <w:pPr>
        <w:rPr>
          <w:rFonts w:hint="default" w:ascii="仿宋" w:hAnsi="仿宋" w:eastAsia="仿宋" w:cs="仿宋"/>
          <w:bCs/>
          <w:color w:val="000000" w:themeColor="text1"/>
          <w:kern w:val="0"/>
          <w:sz w:val="32"/>
          <w:szCs w:val="32"/>
          <w:lang w:val="en-US" w:eastAsia="zh-CN"/>
          <w14:textFill>
            <w14:solidFill>
              <w14:schemeClr w14:val="tx1"/>
            </w14:solidFill>
          </w14:textFill>
        </w:rPr>
      </w:pPr>
      <w:r>
        <w:rPr>
          <w:rFonts w:hint="eastAsia" w:ascii="仿宋" w:hAnsi="仿宋" w:eastAsia="仿宋" w:cs="仿宋"/>
          <w:bCs/>
          <w:color w:val="000000" w:themeColor="text1"/>
          <w:kern w:val="0"/>
          <w:sz w:val="32"/>
          <w:szCs w:val="32"/>
          <w14:textFill>
            <w14:solidFill>
              <w14:schemeClr w14:val="tx1"/>
            </w14:solidFill>
          </w14:textFill>
        </w:rPr>
        <w:t xml:space="preserve">    </w:t>
      </w:r>
      <w:r>
        <w:rPr>
          <w:rFonts w:hint="eastAsia" w:ascii="仿宋" w:hAnsi="仿宋" w:eastAsia="仿宋" w:cs="仿宋"/>
          <w:bCs/>
          <w:color w:val="000000" w:themeColor="text1"/>
          <w:kern w:val="0"/>
          <w:sz w:val="32"/>
          <w:szCs w:val="32"/>
          <w:lang w:eastAsia="zh-CN"/>
          <w14:textFill>
            <w14:solidFill>
              <w14:schemeClr w14:val="tx1"/>
            </w14:solidFill>
          </w14:textFill>
        </w:rPr>
        <w:t>景观廊桥（详情见附件</w:t>
      </w:r>
      <w:r>
        <w:rPr>
          <w:rFonts w:hint="eastAsia" w:ascii="仿宋" w:hAnsi="仿宋" w:eastAsia="仿宋" w:cs="仿宋"/>
          <w:bCs/>
          <w:color w:val="000000" w:themeColor="text1"/>
          <w:kern w:val="0"/>
          <w:sz w:val="32"/>
          <w:szCs w:val="32"/>
          <w:lang w:val="en-US" w:eastAsia="zh-CN"/>
          <w14:textFill>
            <w14:solidFill>
              <w14:schemeClr w14:val="tx1"/>
            </w14:solidFill>
          </w14:textFill>
        </w:rPr>
        <w:t>3）</w:t>
      </w:r>
    </w:p>
    <w:p>
      <w:pPr>
        <w:numPr>
          <w:ilvl w:val="0"/>
          <w:numId w:val="1"/>
        </w:numPr>
        <w:ind w:firstLine="321" w:firstLineChars="100"/>
        <w:rPr>
          <w:rFonts w:hint="eastAsia"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控制价</w:t>
      </w:r>
    </w:p>
    <w:p>
      <w:pPr>
        <w:numPr>
          <w:ilvl w:val="0"/>
          <w:numId w:val="0"/>
        </w:numPr>
        <w:ind w:firstLine="640" w:firstLineChars="200"/>
        <w:rPr>
          <w:rFonts w:hint="default" w:ascii="仿宋" w:hAnsi="仿宋" w:eastAsia="仿宋" w:cs="仿宋"/>
          <w:b w:val="0"/>
          <w:bCs/>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 xml:space="preserve">水上地勘：360元/米，路面地勘168元/米。  </w:t>
      </w:r>
    </w:p>
    <w:p>
      <w:pPr>
        <w:widowControl/>
        <w:spacing w:line="500" w:lineRule="exact"/>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注意事项：投标报价超出控制价的视为无效投标。</w:t>
      </w:r>
    </w:p>
    <w:p>
      <w:pPr>
        <w:widowControl/>
        <w:spacing w:line="500" w:lineRule="exact"/>
        <w:rPr>
          <w:rFonts w:ascii="仿宋" w:hAnsi="仿宋" w:eastAsia="仿宋" w:cs="仿宋"/>
          <w:b/>
          <w:color w:val="000000" w:themeColor="text1"/>
          <w:kern w:val="0"/>
          <w:sz w:val="36"/>
          <w:szCs w:val="36"/>
          <w14:textFill>
            <w14:solidFill>
              <w14:schemeClr w14:val="tx1"/>
            </w14:solidFill>
          </w14:textFill>
        </w:rPr>
      </w:pPr>
    </w:p>
    <w:p>
      <w:pP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br w:type="page"/>
      </w:r>
    </w:p>
    <w:p>
      <w:pPr>
        <w:widowControl/>
        <w:spacing w:line="500" w:lineRule="exact"/>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附件1</w:t>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水上地勘</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路面地勘</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hint="eastAsia" w:ascii="仿宋" w:hAnsi="仿宋" w:eastAsia="仿宋" w:cs="仿宋"/>
                <w:kern w:val="2"/>
                <w:sz w:val="32"/>
                <w:szCs w:val="32"/>
                <w:lang w:val="en-US" w:eastAsia="zh-CN" w:bidi="ar-SA"/>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kern w:val="2"/>
                <w:sz w:val="32"/>
                <w:szCs w:val="32"/>
                <w:lang w:val="en-US" w:eastAsia="zh-CN" w:bidi="ar-SA"/>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p>
        </w:tc>
        <w:tc>
          <w:tcPr>
            <w:tcW w:w="1675" w:type="dxa"/>
            <w:vAlign w:val="center"/>
          </w:tcPr>
          <w:p>
            <w:pPr>
              <w:pStyle w:val="4"/>
              <w:ind w:left="0" w:leftChars="0"/>
              <w:jc w:val="center"/>
              <w:rPr>
                <w:rFonts w:ascii="仿宋" w:hAnsi="仿宋" w:eastAsia="仿宋" w:cs="仿宋"/>
                <w:sz w:val="32"/>
                <w:szCs w:val="32"/>
              </w:rPr>
            </w:pPr>
          </w:p>
        </w:tc>
      </w:tr>
    </w:tbl>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    月    日</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left"/>
        <w:rPr>
          <w:rFonts w:hint="eastAsia" w:ascii="黑体" w:hAnsi="黑体" w:eastAsia="黑体" w:cs="黑体"/>
          <w:bCs/>
          <w:sz w:val="44"/>
          <w:szCs w:val="44"/>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附件2</w:t>
      </w: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附件3</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65420" cy="2595245"/>
            <wp:effectExtent l="0" t="0" r="11430" b="14605"/>
            <wp:docPr id="2" name="图片 2" descr="cb75242bc207c0c8d96285e04705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b75242bc207c0c8d96285e04705d48"/>
                    <pic:cNvPicPr>
                      <a:picLocks noChangeAspect="1"/>
                    </pic:cNvPicPr>
                  </pic:nvPicPr>
                  <pic:blipFill>
                    <a:blip r:embed="rId5"/>
                    <a:stretch>
                      <a:fillRect/>
                    </a:stretch>
                  </pic:blipFill>
                  <pic:spPr>
                    <a:xfrm>
                      <a:off x="0" y="0"/>
                      <a:ext cx="5265420" cy="2595245"/>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5265420" cy="3432175"/>
            <wp:effectExtent l="0" t="0" r="11430" b="15875"/>
            <wp:docPr id="1" name="图片 1" descr="c629dc85c1eda3cdc037c3195cb0f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629dc85c1eda3cdc037c3195cb0f56"/>
                    <pic:cNvPicPr>
                      <a:picLocks noChangeAspect="1"/>
                    </pic:cNvPicPr>
                  </pic:nvPicPr>
                  <pic:blipFill>
                    <a:blip r:embed="rId6"/>
                    <a:stretch>
                      <a:fillRect/>
                    </a:stretch>
                  </pic:blipFill>
                  <pic:spPr>
                    <a:xfrm>
                      <a:off x="0" y="0"/>
                      <a:ext cx="5265420" cy="3432175"/>
                    </a:xfrm>
                    <a:prstGeom prst="rect">
                      <a:avLst/>
                    </a:prstGeom>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lang w:val="en-US"/>
      </w:rPr>
    </w:pPr>
  </w:p>
  <w:p>
    <w:pPr>
      <w:pStyle w:val="6"/>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54F53"/>
    <w:multiLevelType w:val="singleLevel"/>
    <w:tmpl w:val="31154F5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9B240A7"/>
    <w:rsid w:val="0A701785"/>
    <w:rsid w:val="0ABD0ABF"/>
    <w:rsid w:val="0B6F55A6"/>
    <w:rsid w:val="0BE55DB3"/>
    <w:rsid w:val="0D316F93"/>
    <w:rsid w:val="0D9F31AB"/>
    <w:rsid w:val="0E100F06"/>
    <w:rsid w:val="0E46525B"/>
    <w:rsid w:val="0F8A2E6C"/>
    <w:rsid w:val="10476F51"/>
    <w:rsid w:val="108D683E"/>
    <w:rsid w:val="1097590F"/>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ED53182"/>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0BF31AD"/>
    <w:rsid w:val="41791133"/>
    <w:rsid w:val="41F15E6C"/>
    <w:rsid w:val="420C0FB8"/>
    <w:rsid w:val="423A5134"/>
    <w:rsid w:val="427621E8"/>
    <w:rsid w:val="42DD6902"/>
    <w:rsid w:val="44191BBB"/>
    <w:rsid w:val="441A414F"/>
    <w:rsid w:val="444B1319"/>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3D001E"/>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3D30AC"/>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1372</Words>
  <Characters>1434</Characters>
  <Lines>12</Lines>
  <Paragraphs>3</Paragraphs>
  <TotalTime>2</TotalTime>
  <ScaleCrop>false</ScaleCrop>
  <LinksUpToDate>false</LinksUpToDate>
  <CharactersWithSpaces>1522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2023-03-14T10:08:49Z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D780D21A12A84EB7B6BD7ABAD252916E</vt:lpwstr>
  </property>
</Properties>
</file>