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val="0"/>
          <w:sz w:val="44"/>
          <w:szCs w:val="44"/>
          <w:highlight w:val="none"/>
          <w:lang w:val="en-US" w:eastAsia="zh-CN"/>
        </w:rPr>
      </w:pPr>
      <w:r>
        <w:rPr>
          <w:rFonts w:hint="eastAsia" w:ascii="方正小标宋简体" w:hAnsi="方正小标宋简体" w:eastAsia="方正小标宋简体" w:cs="方正小标宋简体"/>
          <w:b w:val="0"/>
          <w:bCs w:val="0"/>
          <w:sz w:val="44"/>
          <w:szCs w:val="44"/>
          <w:highlight w:val="none"/>
          <w:lang w:val="en-US" w:eastAsia="zh-CN"/>
        </w:rPr>
        <w:t>会昌县正源建设有限责任公司</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val="0"/>
          <w:sz w:val="44"/>
          <w:szCs w:val="44"/>
          <w:highlight w:val="none"/>
          <w:lang w:val="en-US" w:eastAsia="zh-CN"/>
        </w:rPr>
      </w:pPr>
      <w:r>
        <w:rPr>
          <w:rFonts w:hint="eastAsia" w:ascii="方正小标宋简体" w:hAnsi="方正小标宋简体" w:eastAsia="方正小标宋简体" w:cs="方正小标宋简体"/>
          <w:b w:val="0"/>
          <w:bCs w:val="0"/>
          <w:sz w:val="44"/>
          <w:szCs w:val="44"/>
          <w:highlight w:val="none"/>
          <w:lang w:val="en-US" w:eastAsia="zh-CN"/>
        </w:rPr>
        <w:t>关于会昌县澄江治理工程使用林地可行性报告编制服务询价公告</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val="0"/>
          <w:sz w:val="44"/>
          <w:szCs w:val="44"/>
          <w:highlight w:val="none"/>
          <w:lang w:val="en-US" w:eastAsia="zh-CN"/>
        </w:rPr>
      </w:pPr>
    </w:p>
    <w:p>
      <w:pPr>
        <w:keepNext w:val="0"/>
        <w:keepLines w:val="0"/>
        <w:pageBreakBefore w:val="0"/>
        <w:widowControl w:val="0"/>
        <w:kinsoku/>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会昌县澄江治理工程使用林地可行性报告编制服务采购，经我公司总经办会议研究，决定采用询价方式进行采购。欢迎符合资格要求的供应商踊跃报价。</w:t>
      </w:r>
    </w:p>
    <w:p>
      <w:pPr>
        <w:keepNext w:val="0"/>
        <w:keepLines w:val="0"/>
        <w:pageBreakBefore w:val="0"/>
        <w:widowControl w:val="0"/>
        <w:kinsoku/>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一、项目概况</w:t>
      </w:r>
    </w:p>
    <w:p>
      <w:pPr>
        <w:keepNext w:val="0"/>
        <w:keepLines w:val="0"/>
        <w:pageBreakBefore w:val="0"/>
        <w:widowControl w:val="0"/>
        <w:kinsoku/>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会昌县澄江治理工程位于澄江流域西江镇和小密乡境内，起点位于西江镇与瑞金市云石山乡交界处的莲石村大河陂，止于小密乡孕龙村兴荣水电站，涉及河段综合治理总长29.615km，其中涉及占用林地面积约</w:t>
      </w:r>
      <w:bookmarkStart w:id="0" w:name="_GoBack"/>
      <w:bookmarkEnd w:id="0"/>
      <w:r>
        <w:rPr>
          <w:rFonts w:hint="eastAsia" w:ascii="仿宋_GB2312" w:hAnsi="仿宋_GB2312" w:eastAsia="仿宋_GB2312" w:cs="仿宋_GB2312"/>
          <w:sz w:val="32"/>
          <w:szCs w:val="32"/>
          <w:lang w:val="en-US" w:eastAsia="zh-CN"/>
        </w:rPr>
        <w:t>16.53公顷（248亩）,以林业局最终核定的报批面积为准。根据有关规定，需开展该项目占用林地可行性调查工作并出具可研报告。</w:t>
      </w:r>
    </w:p>
    <w:p>
      <w:pPr>
        <w:keepNext w:val="0"/>
        <w:keepLines w:val="0"/>
        <w:pageBreakBefore w:val="0"/>
        <w:widowControl w:val="0"/>
        <w:kinsoku/>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二、服务内容</w:t>
      </w:r>
    </w:p>
    <w:p>
      <w:pPr>
        <w:keepNext w:val="0"/>
        <w:keepLines w:val="0"/>
        <w:pageBreakBefore w:val="0"/>
        <w:widowControl w:val="0"/>
        <w:kinsoku/>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负责编制使用林地可行性报告申报材料，向相关部门逐级上报材料，协助采购人沟通省、市、县相关部门，完成审批流程，最终获得相关政府部门批复的项目使用林地的准予行政许可（审批）决定书。</w:t>
      </w:r>
    </w:p>
    <w:p>
      <w:pPr>
        <w:keepNext w:val="0"/>
        <w:keepLines w:val="0"/>
        <w:pageBreakBefore w:val="0"/>
        <w:widowControl w:val="0"/>
        <w:kinsoku/>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lang w:val="en-US" w:eastAsia="zh-CN"/>
        </w:rPr>
        <w:t>三、资格要求</w:t>
      </w:r>
    </w:p>
    <w:p>
      <w:pPr>
        <w:keepNext w:val="0"/>
        <w:keepLines w:val="0"/>
        <w:pageBreakBefore w:val="0"/>
        <w:widowControl w:val="0"/>
        <w:kinsoku/>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（一）独立法人，具备林地可研报告编制能力的单位。</w:t>
      </w:r>
    </w:p>
    <w:p>
      <w:pPr>
        <w:keepNext w:val="0"/>
        <w:keepLines w:val="0"/>
        <w:pageBreakBefore w:val="0"/>
        <w:widowControl w:val="0"/>
        <w:kinsoku/>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（二）单位内部管理制度健全，在</w:t>
      </w:r>
      <w:r>
        <w:rPr>
          <w:rFonts w:hint="eastAsia" w:ascii="仿宋_GB2312" w:hAnsi="仿宋_GB2312" w:eastAsia="仿宋_GB2312" w:cs="仿宋_GB2312"/>
          <w:sz w:val="32"/>
          <w:szCs w:val="32"/>
          <w:lang w:eastAsia="zh-CN"/>
        </w:rPr>
        <w:t>江西省</w:t>
      </w:r>
      <w:r>
        <w:rPr>
          <w:rFonts w:hint="eastAsia" w:ascii="仿宋_GB2312" w:hAnsi="仿宋_GB2312" w:eastAsia="仿宋_GB2312" w:cs="仿宋_GB2312"/>
          <w:sz w:val="32"/>
          <w:szCs w:val="32"/>
        </w:rPr>
        <w:t>内有固定办公场所，具备专业技术的工作人员，且在我省有从事林地可研报告编制的经验和业绩，信誉良好。</w:t>
      </w:r>
    </w:p>
    <w:p>
      <w:pPr>
        <w:keepNext w:val="0"/>
        <w:keepLines w:val="0"/>
        <w:pageBreakBefore w:val="0"/>
        <w:widowControl w:val="0"/>
        <w:kinsoku/>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（三）近三年未被省、市</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县自然资源和规划、林业部门进行不良通报。</w:t>
      </w:r>
    </w:p>
    <w:p>
      <w:pPr>
        <w:keepNext w:val="0"/>
        <w:keepLines w:val="0"/>
        <w:pageBreakBefore w:val="0"/>
        <w:widowControl w:val="0"/>
        <w:kinsoku/>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四、报价文件递交</w:t>
      </w:r>
    </w:p>
    <w:p>
      <w:pPr>
        <w:keepNext w:val="0"/>
        <w:keepLines w:val="0"/>
        <w:pageBreakBefore w:val="0"/>
        <w:widowControl w:val="0"/>
        <w:kinsoku/>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1、投标供应商应将报价文件密封并在密封处加盖公章；</w:t>
      </w:r>
    </w:p>
    <w:p>
      <w:pPr>
        <w:keepNext w:val="0"/>
        <w:keepLines w:val="0"/>
        <w:pageBreakBefore w:val="0"/>
        <w:widowControl w:val="0"/>
        <w:kinsoku/>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2、封装袋上注明报价人名称和联系方式；</w:t>
      </w:r>
    </w:p>
    <w:p>
      <w:pPr>
        <w:keepNext w:val="0"/>
        <w:keepLines w:val="0"/>
        <w:pageBreakBefore w:val="0"/>
        <w:widowControl w:val="0"/>
        <w:kinsoku/>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3、投标供应商应在规定时间前将报价文件递交到指定地点；</w:t>
      </w:r>
    </w:p>
    <w:p>
      <w:pPr>
        <w:keepNext w:val="0"/>
        <w:keepLines w:val="0"/>
        <w:pageBreakBefore w:val="0"/>
        <w:widowControl w:val="0"/>
        <w:kinsoku/>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报价文件由（附件一）中的报价单、法人身份证复印件、公司营业执照复印件、从业资质证书复印件、业绩证明、委托书及被委托人身份证复印件，所有材料均须加盖公章，提供公司主要管理及其直系亲属未在会昌县恒茂建设发展集团有限责任公司（包括下属子公司）从业的承诺书（附件二）；</w:t>
      </w:r>
    </w:p>
    <w:p>
      <w:pPr>
        <w:keepNext w:val="0"/>
        <w:keepLines w:val="0"/>
        <w:pageBreakBefore w:val="0"/>
        <w:widowControl w:val="0"/>
        <w:kinsoku/>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5、递交响应文件时间：</w:t>
      </w:r>
      <w:r>
        <w:rPr>
          <w:rFonts w:hint="eastAsia" w:ascii="仿宋_GB2312" w:hAnsi="仿宋_GB2312" w:eastAsia="仿宋_GB2312" w:cs="仿宋_GB2312"/>
          <w:sz w:val="32"/>
          <w:szCs w:val="32"/>
        </w:rPr>
        <w:t>本公告发出之日起至</w:t>
      </w:r>
      <w:r>
        <w:rPr>
          <w:rFonts w:hint="eastAsia" w:ascii="仿宋_GB2312" w:hAnsi="仿宋_GB2312" w:eastAsia="仿宋_GB2312" w:cs="仿宋_GB2312"/>
          <w:sz w:val="32"/>
          <w:szCs w:val="32"/>
          <w:lang w:val="en-US" w:eastAsia="zh-CN"/>
        </w:rPr>
        <w:t>2024年8月16日17:00(北京时间)；</w:t>
      </w:r>
    </w:p>
    <w:p>
      <w:pPr>
        <w:keepNext w:val="0"/>
        <w:keepLines w:val="0"/>
        <w:pageBreakBefore w:val="0"/>
        <w:widowControl w:val="0"/>
        <w:kinsoku/>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6、递交响应文件地点：会昌县商会大厦九楼正源公司采砂部。</w:t>
      </w:r>
    </w:p>
    <w:p>
      <w:pPr>
        <w:keepNext w:val="0"/>
        <w:keepLines w:val="0"/>
        <w:pageBreakBefore w:val="0"/>
        <w:widowControl w:val="0"/>
        <w:kinsoku/>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五、其它补充事宜</w:t>
      </w:r>
    </w:p>
    <w:p>
      <w:pPr>
        <w:keepNext w:val="0"/>
        <w:keepLines w:val="0"/>
        <w:pageBreakBefore w:val="0"/>
        <w:widowControl w:val="0"/>
        <w:kinsoku/>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1、报价要求：本项目的报价以每平方米/元</w:t>
      </w:r>
      <w:r>
        <w:rPr>
          <w:rFonts w:hint="eastAsia" w:ascii="仿宋_GB2312" w:hAnsi="仿宋_GB2312" w:eastAsia="仿宋_GB2312" w:cs="仿宋_GB2312"/>
          <w:sz w:val="32"/>
          <w:szCs w:val="32"/>
          <w:lang w:val="zh-CN" w:eastAsia="zh-CN"/>
        </w:rPr>
        <w:t>的形式报价，占用林地面积以</w:t>
      </w:r>
      <w:r>
        <w:rPr>
          <w:rFonts w:hint="eastAsia" w:ascii="仿宋_GB2312" w:hAnsi="仿宋_GB2312" w:eastAsia="仿宋_GB2312" w:cs="仿宋_GB2312"/>
          <w:sz w:val="32"/>
          <w:szCs w:val="32"/>
          <w:lang w:val="en-US" w:eastAsia="zh-CN"/>
        </w:rPr>
        <w:t>林业局最终核定的报批面积为准。</w:t>
      </w:r>
    </w:p>
    <w:p>
      <w:pPr>
        <w:keepNext w:val="0"/>
        <w:keepLines w:val="0"/>
        <w:pageBreakBefore w:val="0"/>
        <w:widowControl w:val="0"/>
        <w:kinsoku/>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成果提交时间</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签订合同且甲方提供项目审批所需基础资料后后30日内提交成果。</w:t>
      </w:r>
    </w:p>
    <w:p>
      <w:pPr>
        <w:keepNext w:val="0"/>
        <w:keepLines w:val="0"/>
        <w:pageBreakBefore w:val="0"/>
        <w:widowControl w:val="0"/>
        <w:kinsoku/>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3、报价币种：人民币。</w:t>
      </w:r>
    </w:p>
    <w:p>
      <w:pPr>
        <w:keepNext w:val="0"/>
        <w:keepLines w:val="0"/>
        <w:pageBreakBefore w:val="0"/>
        <w:widowControl w:val="0"/>
        <w:kinsoku/>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4、投标供应商必须认真阅读询价公告内容（包括补遗内容），并满足投标项目要求技术与服务要求。</w:t>
      </w:r>
    </w:p>
    <w:p>
      <w:pPr>
        <w:keepNext w:val="0"/>
        <w:keepLines w:val="0"/>
        <w:pageBreakBefore w:val="0"/>
        <w:widowControl w:val="0"/>
        <w:kinsoku/>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5、成交原则：采购单位根据符合采购要求、</w:t>
      </w:r>
      <w:r>
        <w:rPr>
          <w:rFonts w:hint="eastAsia" w:ascii="仿宋_GB2312" w:hAnsi="仿宋_GB2312" w:eastAsia="仿宋_GB2312" w:cs="仿宋_GB2312"/>
          <w:sz w:val="32"/>
          <w:szCs w:val="32"/>
        </w:rPr>
        <w:t>经验和业绩</w:t>
      </w:r>
      <w:r>
        <w:rPr>
          <w:rFonts w:hint="eastAsia" w:ascii="仿宋_GB2312" w:hAnsi="仿宋_GB2312" w:eastAsia="仿宋_GB2312" w:cs="仿宋_GB2312"/>
          <w:sz w:val="32"/>
          <w:szCs w:val="32"/>
          <w:lang w:val="en-US" w:eastAsia="zh-CN"/>
        </w:rPr>
        <w:t>相等且报价最低的原则确定成交供应商，原则上响应供应商不低于三家；如果出现两个以上相同最低报价的，则由采购人随机抽取方式确定一个投标人获得中标人资格。</w:t>
      </w:r>
    </w:p>
    <w:p>
      <w:pPr>
        <w:keepNext w:val="0"/>
        <w:keepLines w:val="0"/>
        <w:pageBreakBefore w:val="0"/>
        <w:widowControl w:val="0"/>
        <w:kinsoku/>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6、联系方式：</w:t>
      </w:r>
    </w:p>
    <w:p>
      <w:pPr>
        <w:keepNext w:val="0"/>
        <w:keepLines w:val="0"/>
        <w:pageBreakBefore w:val="0"/>
        <w:widowControl w:val="0"/>
        <w:kinsoku/>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地   址：会昌县商会大厦九楼</w:t>
      </w:r>
    </w:p>
    <w:p>
      <w:pPr>
        <w:keepNext w:val="0"/>
        <w:keepLines w:val="0"/>
        <w:pageBreakBefore w:val="0"/>
        <w:widowControl w:val="0"/>
        <w:kinsoku/>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联 系 人：刘先生</w:t>
      </w:r>
    </w:p>
    <w:p>
      <w:pPr>
        <w:keepNext w:val="0"/>
        <w:keepLines w:val="0"/>
        <w:pageBreakBefore w:val="0"/>
        <w:widowControl w:val="0"/>
        <w:kinsoku/>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联系电话：18607977969</w:t>
      </w:r>
    </w:p>
    <w:p>
      <w:pPr>
        <w:keepNext w:val="0"/>
        <w:keepLines w:val="0"/>
        <w:pageBreakBefore w:val="0"/>
        <w:widowControl w:val="0"/>
        <w:kinsoku/>
        <w:wordWrap w:val="0"/>
        <w:overflowPunct/>
        <w:topLinePunct w:val="0"/>
        <w:autoSpaceDE/>
        <w:autoSpaceDN/>
        <w:bidi w:val="0"/>
        <w:adjustRightInd/>
        <w:snapToGrid/>
        <w:spacing w:line="560" w:lineRule="exact"/>
        <w:jc w:val="right"/>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560" w:lineRule="exact"/>
        <w:jc w:val="right"/>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eastAsia="zh-CN"/>
        </w:rPr>
        <w:t xml:space="preserve"> 会昌县正源建设有限责任公司  </w:t>
      </w:r>
    </w:p>
    <w:p>
      <w:pPr>
        <w:keepNext w:val="0"/>
        <w:keepLines w:val="0"/>
        <w:pageBreakBefore w:val="0"/>
        <w:widowControl w:val="0"/>
        <w:kinsoku/>
        <w:wordWrap w:val="0"/>
        <w:overflowPunct/>
        <w:topLinePunct w:val="0"/>
        <w:autoSpaceDE/>
        <w:autoSpaceDN/>
        <w:bidi w:val="0"/>
        <w:adjustRightInd/>
        <w:snapToGrid/>
        <w:spacing w:line="560" w:lineRule="exact"/>
        <w:jc w:val="right"/>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2024年8月14日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25" w:beforeAutospacing="0" w:after="225" w:afterAutospacing="0" w:line="500" w:lineRule="exact"/>
        <w:ind w:right="0"/>
        <w:jc w:val="both"/>
        <w:textAlignment w:val="auto"/>
        <w:rPr>
          <w:rFonts w:hint="eastAsia" w:ascii="仿宋_GB2312" w:hAnsi="仿宋_GB2312" w:eastAsia="仿宋_GB2312" w:cs="仿宋_GB2312"/>
          <w:i w:val="0"/>
          <w:iCs w:val="0"/>
          <w:caps w:val="0"/>
          <w:color w:val="333333"/>
          <w:spacing w:val="0"/>
          <w:kern w:val="0"/>
          <w:sz w:val="32"/>
          <w:szCs w:val="32"/>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25" w:beforeAutospacing="0" w:after="225" w:afterAutospacing="0" w:line="500" w:lineRule="exact"/>
        <w:ind w:right="0"/>
        <w:jc w:val="both"/>
        <w:textAlignment w:val="auto"/>
        <w:rPr>
          <w:rFonts w:hint="eastAsia" w:ascii="仿宋_GB2312" w:hAnsi="仿宋_GB2312" w:eastAsia="仿宋_GB2312" w:cs="仿宋_GB2312"/>
          <w:i w:val="0"/>
          <w:iCs w:val="0"/>
          <w:caps w:val="0"/>
          <w:color w:val="333333"/>
          <w:spacing w:val="0"/>
          <w:kern w:val="0"/>
          <w:sz w:val="32"/>
          <w:szCs w:val="32"/>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25" w:beforeAutospacing="0" w:after="225" w:afterAutospacing="0" w:line="500" w:lineRule="exact"/>
        <w:ind w:right="0"/>
        <w:jc w:val="both"/>
        <w:textAlignment w:val="auto"/>
        <w:rPr>
          <w:rFonts w:hint="eastAsia" w:ascii="仿宋_GB2312" w:hAnsi="仿宋_GB2312" w:eastAsia="仿宋_GB2312" w:cs="仿宋_GB2312"/>
          <w:i w:val="0"/>
          <w:iCs w:val="0"/>
          <w:caps w:val="0"/>
          <w:color w:val="333333"/>
          <w:spacing w:val="0"/>
          <w:kern w:val="0"/>
          <w:sz w:val="32"/>
          <w:szCs w:val="32"/>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25" w:beforeAutospacing="0" w:after="225" w:afterAutospacing="0" w:line="500" w:lineRule="exact"/>
        <w:ind w:right="0"/>
        <w:jc w:val="both"/>
        <w:textAlignment w:val="auto"/>
        <w:rPr>
          <w:rFonts w:hint="eastAsia" w:ascii="仿宋_GB2312" w:hAnsi="仿宋_GB2312" w:eastAsia="仿宋_GB2312" w:cs="仿宋_GB2312"/>
          <w:i w:val="0"/>
          <w:iCs w:val="0"/>
          <w:caps w:val="0"/>
          <w:color w:val="333333"/>
          <w:spacing w:val="0"/>
          <w:kern w:val="0"/>
          <w:sz w:val="32"/>
          <w:szCs w:val="32"/>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25" w:beforeAutospacing="0" w:after="225" w:afterAutospacing="0" w:line="500" w:lineRule="exact"/>
        <w:ind w:right="0"/>
        <w:jc w:val="both"/>
        <w:textAlignment w:val="auto"/>
        <w:rPr>
          <w:rFonts w:hint="eastAsia" w:ascii="仿宋_GB2312" w:hAnsi="仿宋_GB2312" w:eastAsia="仿宋_GB2312" w:cs="仿宋_GB2312"/>
          <w:i w:val="0"/>
          <w:iCs w:val="0"/>
          <w:caps w:val="0"/>
          <w:color w:val="333333"/>
          <w:spacing w:val="0"/>
          <w:kern w:val="0"/>
          <w:sz w:val="32"/>
          <w:szCs w:val="32"/>
          <w:lang w:val="en-US" w:eastAsia="zh-CN" w:bidi="ar"/>
        </w:rPr>
      </w:pPr>
    </w:p>
    <w:p>
      <w:pPr>
        <w:pStyle w:val="2"/>
        <w:rPr>
          <w:rFonts w:hint="eastAsia" w:ascii="仿宋_GB2312" w:hAnsi="仿宋_GB2312" w:eastAsia="仿宋_GB2312" w:cs="仿宋_GB2312"/>
          <w:i w:val="0"/>
          <w:iCs w:val="0"/>
          <w:caps w:val="0"/>
          <w:color w:val="333333"/>
          <w:spacing w:val="0"/>
          <w:kern w:val="0"/>
          <w:sz w:val="32"/>
          <w:szCs w:val="32"/>
          <w:lang w:val="en-US" w:eastAsia="zh-CN" w:bidi="ar"/>
        </w:rPr>
      </w:pPr>
    </w:p>
    <w:p>
      <w:pPr>
        <w:pStyle w:val="2"/>
        <w:rPr>
          <w:rFonts w:hint="eastAsia" w:ascii="仿宋_GB2312" w:hAnsi="仿宋_GB2312" w:eastAsia="仿宋_GB2312" w:cs="仿宋_GB2312"/>
          <w:i w:val="0"/>
          <w:iCs w:val="0"/>
          <w:caps w:val="0"/>
          <w:color w:val="333333"/>
          <w:spacing w:val="0"/>
          <w:kern w:val="0"/>
          <w:sz w:val="32"/>
          <w:szCs w:val="32"/>
          <w:lang w:val="en-US" w:eastAsia="zh-CN" w:bidi="ar"/>
        </w:rPr>
      </w:pPr>
    </w:p>
    <w:p>
      <w:pPr>
        <w:pStyle w:val="2"/>
        <w:rPr>
          <w:rFonts w:hint="eastAsia" w:ascii="仿宋_GB2312" w:hAnsi="仿宋_GB2312" w:eastAsia="仿宋_GB2312" w:cs="仿宋_GB2312"/>
          <w:i w:val="0"/>
          <w:iCs w:val="0"/>
          <w:caps w:val="0"/>
          <w:color w:val="333333"/>
          <w:spacing w:val="0"/>
          <w:kern w:val="0"/>
          <w:sz w:val="32"/>
          <w:szCs w:val="32"/>
          <w:lang w:val="en-US" w:eastAsia="zh-CN" w:bidi="ar"/>
        </w:rPr>
      </w:pPr>
    </w:p>
    <w:p>
      <w:pPr>
        <w:pStyle w:val="2"/>
        <w:rPr>
          <w:rFonts w:hint="eastAsia" w:ascii="仿宋_GB2312" w:hAnsi="仿宋_GB2312" w:eastAsia="仿宋_GB2312" w:cs="仿宋_GB2312"/>
          <w:i w:val="0"/>
          <w:iCs w:val="0"/>
          <w:caps w:val="0"/>
          <w:color w:val="333333"/>
          <w:spacing w:val="0"/>
          <w:kern w:val="0"/>
          <w:sz w:val="32"/>
          <w:szCs w:val="32"/>
          <w:lang w:val="en-US" w:eastAsia="zh-CN" w:bidi="ar"/>
        </w:rPr>
      </w:pPr>
    </w:p>
    <w:p>
      <w:pPr>
        <w:pStyle w:val="2"/>
        <w:rPr>
          <w:rFonts w:hint="eastAsia" w:ascii="仿宋_GB2312" w:hAnsi="仿宋_GB2312" w:eastAsia="仿宋_GB2312" w:cs="仿宋_GB2312"/>
          <w:i w:val="0"/>
          <w:iCs w:val="0"/>
          <w:caps w:val="0"/>
          <w:color w:val="333333"/>
          <w:spacing w:val="0"/>
          <w:kern w:val="0"/>
          <w:sz w:val="32"/>
          <w:szCs w:val="32"/>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25" w:beforeAutospacing="0" w:after="225" w:afterAutospacing="0" w:line="500" w:lineRule="exact"/>
        <w:ind w:right="0"/>
        <w:jc w:val="both"/>
        <w:textAlignment w:val="auto"/>
        <w:rPr>
          <w:rFonts w:hint="eastAsia" w:ascii="仿宋_GB2312" w:hAnsi="仿宋_GB2312" w:eastAsia="仿宋_GB2312" w:cs="仿宋_GB2312"/>
          <w:i w:val="0"/>
          <w:iCs w:val="0"/>
          <w:caps w:val="0"/>
          <w:color w:val="333333"/>
          <w:spacing w:val="0"/>
          <w:kern w:val="0"/>
          <w:sz w:val="32"/>
          <w:szCs w:val="32"/>
          <w:lang w:val="en-US" w:eastAsia="zh-CN" w:bidi="ar"/>
        </w:rPr>
      </w:pPr>
      <w:r>
        <w:rPr>
          <w:rFonts w:hint="eastAsia" w:ascii="仿宋_GB2312" w:hAnsi="仿宋_GB2312" w:eastAsia="仿宋_GB2312" w:cs="仿宋_GB2312"/>
          <w:i w:val="0"/>
          <w:iCs w:val="0"/>
          <w:caps w:val="0"/>
          <w:color w:val="333333"/>
          <w:spacing w:val="0"/>
          <w:kern w:val="0"/>
          <w:sz w:val="32"/>
          <w:szCs w:val="32"/>
          <w:lang w:val="en-US" w:eastAsia="zh-CN" w:bidi="ar"/>
        </w:rPr>
        <w:t>附件1：</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报价函</w:t>
      </w:r>
    </w:p>
    <w:p>
      <w:pPr>
        <w:numPr>
          <w:ilvl w:val="0"/>
          <w:numId w:val="0"/>
        </w:numPr>
        <w:spacing w:line="560" w:lineRule="exact"/>
        <w:ind w:firstLine="640" w:firstLineChars="200"/>
        <w:rPr>
          <w:rFonts w:ascii="Times New Roman" w:hAnsi="Times New Roman"/>
          <w:color w:val="000000"/>
          <w:kern w:val="0"/>
          <w:sz w:val="32"/>
          <w:szCs w:val="32"/>
        </w:rPr>
      </w:pPr>
      <w:r>
        <w:rPr>
          <w:rFonts w:hint="eastAsia" w:ascii="Times New Roman" w:hAnsi="Times New Roman" w:eastAsia="黑体"/>
          <w:color w:val="000000"/>
          <w:kern w:val="0"/>
          <w:sz w:val="32"/>
          <w:szCs w:val="32"/>
          <w:lang w:eastAsia="zh-CN"/>
        </w:rPr>
        <w:t>一、</w:t>
      </w:r>
      <w:r>
        <w:rPr>
          <w:rFonts w:ascii="Times New Roman" w:hAnsi="Times New Roman" w:eastAsia="黑体"/>
          <w:color w:val="000000"/>
          <w:kern w:val="0"/>
          <w:sz w:val="32"/>
          <w:szCs w:val="32"/>
        </w:rPr>
        <w:t>报价表</w:t>
      </w:r>
      <w:r>
        <w:rPr>
          <w:rFonts w:hint="eastAsia" w:ascii="Times New Roman" w:hAnsi="Times New Roman" w:eastAsia="黑体"/>
          <w:color w:val="000000"/>
          <w:kern w:val="0"/>
          <w:sz w:val="32"/>
          <w:szCs w:val="32"/>
        </w:rPr>
        <w:t>：</w:t>
      </w:r>
      <w:r>
        <w:rPr>
          <w:rFonts w:ascii="Times New Roman" w:hAnsi="Times New Roman" w:eastAsia="黑体"/>
          <w:color w:val="000000"/>
          <w:kern w:val="0"/>
          <w:sz w:val="32"/>
          <w:szCs w:val="32"/>
        </w:rPr>
        <w:t>   </w:t>
      </w:r>
      <w:r>
        <w:rPr>
          <w:rFonts w:ascii="Times New Roman" w:hAnsi="Times New Roman"/>
          <w:color w:val="000000"/>
          <w:kern w:val="0"/>
          <w:sz w:val="32"/>
          <w:szCs w:val="32"/>
        </w:rPr>
        <w:t>                            </w:t>
      </w:r>
    </w:p>
    <w:tbl>
      <w:tblPr>
        <w:tblStyle w:val="7"/>
        <w:tblW w:w="9116" w:type="dxa"/>
        <w:jc w:val="cente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236"/>
        <w:gridCol w:w="3899"/>
        <w:gridCol w:w="298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67" w:hRule="atLeast"/>
          <w:jc w:val="center"/>
        </w:trPr>
        <w:tc>
          <w:tcPr>
            <w:tcW w:w="2236" w:type="dxa"/>
            <w:noWrap w:val="0"/>
            <w:vAlign w:val="center"/>
          </w:tcPr>
          <w:p>
            <w:pPr>
              <w:spacing w:line="300" w:lineRule="exact"/>
              <w:jc w:val="center"/>
              <w:rPr>
                <w:rFonts w:ascii="宋体" w:hAnsi="宋体" w:cs="宋体"/>
                <w:b/>
                <w:color w:val="000000"/>
                <w:kern w:val="0"/>
                <w:sz w:val="24"/>
                <w:szCs w:val="24"/>
              </w:rPr>
            </w:pPr>
            <w:r>
              <w:rPr>
                <w:rFonts w:hint="eastAsia" w:ascii="宋体" w:hAnsi="宋体" w:cs="宋体"/>
                <w:b/>
                <w:color w:val="000000"/>
                <w:kern w:val="0"/>
                <w:sz w:val="24"/>
                <w:szCs w:val="24"/>
              </w:rPr>
              <w:t>名称</w:t>
            </w:r>
          </w:p>
        </w:tc>
        <w:tc>
          <w:tcPr>
            <w:tcW w:w="3899" w:type="dxa"/>
            <w:noWrap w:val="0"/>
            <w:vAlign w:val="center"/>
          </w:tcPr>
          <w:p>
            <w:pPr>
              <w:spacing w:line="300" w:lineRule="exact"/>
              <w:jc w:val="center"/>
              <w:rPr>
                <w:rFonts w:hint="eastAsia" w:ascii="宋体" w:hAnsi="宋体" w:cs="宋体" w:eastAsiaTheme="minorEastAsia"/>
                <w:b/>
                <w:color w:val="000000"/>
                <w:kern w:val="0"/>
                <w:sz w:val="24"/>
                <w:szCs w:val="24"/>
                <w:lang w:eastAsia="zh-CN"/>
              </w:rPr>
            </w:pPr>
            <w:r>
              <w:rPr>
                <w:rFonts w:hint="eastAsia" w:ascii="宋体" w:hAnsi="宋体" w:cs="宋体"/>
                <w:b/>
                <w:color w:val="000000"/>
                <w:kern w:val="0"/>
                <w:sz w:val="24"/>
                <w:szCs w:val="24"/>
                <w:lang w:eastAsia="zh-CN"/>
              </w:rPr>
              <w:t>报价金额（元</w:t>
            </w:r>
            <w:r>
              <w:rPr>
                <w:rFonts w:hint="eastAsia" w:ascii="宋体" w:hAnsi="宋体" w:cs="宋体"/>
                <w:b/>
                <w:color w:val="000000"/>
                <w:kern w:val="0"/>
                <w:sz w:val="24"/>
                <w:szCs w:val="24"/>
                <w:lang w:val="en-US" w:eastAsia="zh-CN"/>
              </w:rPr>
              <w:t>/平方米</w:t>
            </w:r>
            <w:r>
              <w:rPr>
                <w:rFonts w:hint="eastAsia" w:ascii="宋体" w:hAnsi="宋体" w:cs="宋体"/>
                <w:b/>
                <w:color w:val="000000"/>
                <w:kern w:val="0"/>
                <w:sz w:val="24"/>
                <w:szCs w:val="24"/>
                <w:lang w:eastAsia="zh-CN"/>
              </w:rPr>
              <w:t>）</w:t>
            </w:r>
          </w:p>
        </w:tc>
        <w:tc>
          <w:tcPr>
            <w:tcW w:w="2981" w:type="dxa"/>
            <w:noWrap w:val="0"/>
            <w:vAlign w:val="center"/>
          </w:tcPr>
          <w:p>
            <w:pPr>
              <w:spacing w:line="300" w:lineRule="exact"/>
              <w:jc w:val="center"/>
              <w:rPr>
                <w:rFonts w:hint="eastAsia" w:ascii="宋体" w:hAnsi="宋体" w:cs="宋体" w:eastAsiaTheme="minorEastAsia"/>
                <w:b/>
                <w:color w:val="000000"/>
                <w:kern w:val="0"/>
                <w:sz w:val="24"/>
                <w:szCs w:val="24"/>
                <w:lang w:eastAsia="zh-CN"/>
              </w:rPr>
            </w:pPr>
            <w:r>
              <w:rPr>
                <w:rFonts w:hint="eastAsia" w:ascii="宋体" w:hAnsi="宋体" w:cs="宋体"/>
                <w:b/>
                <w:color w:val="000000"/>
                <w:kern w:val="0"/>
                <w:sz w:val="24"/>
                <w:szCs w:val="24"/>
                <w:lang w:eastAsia="zh-CN"/>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375" w:hRule="atLeast"/>
          <w:jc w:val="center"/>
        </w:trPr>
        <w:tc>
          <w:tcPr>
            <w:tcW w:w="2236" w:type="dxa"/>
            <w:noWrap w:val="0"/>
            <w:vAlign w:val="center"/>
          </w:tcPr>
          <w:p>
            <w:pPr>
              <w:spacing w:line="300" w:lineRule="exact"/>
              <w:jc w:val="center"/>
              <w:rPr>
                <w:rFonts w:ascii="宋体" w:hAnsi="宋体" w:cs="宋体"/>
                <w:bCs/>
                <w:color w:val="000000"/>
                <w:kern w:val="0"/>
                <w:sz w:val="24"/>
                <w:szCs w:val="24"/>
              </w:rPr>
            </w:pPr>
            <w:r>
              <w:rPr>
                <w:rFonts w:hint="eastAsia" w:ascii="仿宋_GB2312" w:hAnsi="仿宋_GB2312" w:eastAsia="仿宋_GB2312" w:cs="仿宋_GB2312"/>
                <w:sz w:val="28"/>
                <w:szCs w:val="28"/>
                <w:lang w:val="en-US" w:eastAsia="zh-CN"/>
              </w:rPr>
              <w:t>会昌县澄江治理工程使用林地可行性报告编制服务</w:t>
            </w:r>
          </w:p>
        </w:tc>
        <w:tc>
          <w:tcPr>
            <w:tcW w:w="3899" w:type="dxa"/>
            <w:noWrap w:val="0"/>
            <w:vAlign w:val="center"/>
          </w:tcPr>
          <w:p>
            <w:pPr>
              <w:spacing w:line="300" w:lineRule="exact"/>
              <w:jc w:val="center"/>
              <w:rPr>
                <w:rFonts w:ascii="宋体" w:hAnsi="宋体" w:cs="宋体"/>
                <w:bCs/>
                <w:color w:val="000000"/>
                <w:kern w:val="0"/>
                <w:sz w:val="24"/>
                <w:szCs w:val="24"/>
              </w:rPr>
            </w:pPr>
          </w:p>
        </w:tc>
        <w:tc>
          <w:tcPr>
            <w:tcW w:w="2981" w:type="dxa"/>
            <w:noWrap w:val="0"/>
            <w:vAlign w:val="center"/>
          </w:tcPr>
          <w:p>
            <w:pPr>
              <w:spacing w:line="300" w:lineRule="exact"/>
              <w:jc w:val="center"/>
              <w:rPr>
                <w:rFonts w:ascii="宋体" w:hAnsi="宋体" w:cs="宋体"/>
                <w:bCs/>
                <w:color w:val="000000"/>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67" w:hRule="atLeast"/>
          <w:jc w:val="center"/>
        </w:trPr>
        <w:tc>
          <w:tcPr>
            <w:tcW w:w="2236" w:type="dxa"/>
            <w:noWrap w:val="0"/>
            <w:vAlign w:val="center"/>
          </w:tcPr>
          <w:p>
            <w:pPr>
              <w:spacing w:line="300" w:lineRule="exact"/>
              <w:jc w:val="center"/>
              <w:rPr>
                <w:rFonts w:ascii="宋体" w:hAnsi="宋体" w:cs="宋体"/>
                <w:bCs/>
                <w:color w:val="000000"/>
                <w:kern w:val="0"/>
                <w:sz w:val="24"/>
                <w:szCs w:val="24"/>
              </w:rPr>
            </w:pPr>
          </w:p>
        </w:tc>
        <w:tc>
          <w:tcPr>
            <w:tcW w:w="3899" w:type="dxa"/>
            <w:noWrap w:val="0"/>
            <w:vAlign w:val="center"/>
          </w:tcPr>
          <w:p>
            <w:pPr>
              <w:spacing w:line="300" w:lineRule="exact"/>
              <w:jc w:val="center"/>
              <w:rPr>
                <w:rFonts w:ascii="宋体" w:hAnsi="宋体" w:cs="宋体"/>
                <w:bCs/>
                <w:color w:val="000000"/>
                <w:kern w:val="0"/>
                <w:sz w:val="24"/>
                <w:szCs w:val="24"/>
              </w:rPr>
            </w:pPr>
          </w:p>
        </w:tc>
        <w:tc>
          <w:tcPr>
            <w:tcW w:w="2981" w:type="dxa"/>
            <w:noWrap w:val="0"/>
            <w:vAlign w:val="center"/>
          </w:tcPr>
          <w:p>
            <w:pPr>
              <w:spacing w:line="300" w:lineRule="exact"/>
              <w:jc w:val="center"/>
              <w:rPr>
                <w:rFonts w:ascii="宋体" w:hAnsi="宋体" w:cs="宋体"/>
                <w:bCs/>
                <w:color w:val="000000"/>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67" w:hRule="atLeast"/>
          <w:jc w:val="center"/>
        </w:trPr>
        <w:tc>
          <w:tcPr>
            <w:tcW w:w="2236" w:type="dxa"/>
            <w:noWrap w:val="0"/>
            <w:vAlign w:val="center"/>
          </w:tcPr>
          <w:p>
            <w:pPr>
              <w:spacing w:line="300" w:lineRule="exact"/>
              <w:jc w:val="center"/>
              <w:rPr>
                <w:rFonts w:ascii="宋体" w:hAnsi="宋体" w:cs="宋体"/>
                <w:bCs/>
                <w:color w:val="000000"/>
                <w:kern w:val="0"/>
                <w:sz w:val="24"/>
                <w:szCs w:val="24"/>
              </w:rPr>
            </w:pPr>
          </w:p>
        </w:tc>
        <w:tc>
          <w:tcPr>
            <w:tcW w:w="3899" w:type="dxa"/>
            <w:noWrap w:val="0"/>
            <w:vAlign w:val="center"/>
          </w:tcPr>
          <w:p>
            <w:pPr>
              <w:spacing w:line="300" w:lineRule="exact"/>
              <w:jc w:val="center"/>
              <w:rPr>
                <w:rFonts w:ascii="宋体" w:hAnsi="宋体" w:cs="宋体"/>
                <w:bCs/>
                <w:color w:val="000000"/>
                <w:kern w:val="0"/>
                <w:sz w:val="24"/>
                <w:szCs w:val="24"/>
              </w:rPr>
            </w:pPr>
          </w:p>
        </w:tc>
        <w:tc>
          <w:tcPr>
            <w:tcW w:w="2981" w:type="dxa"/>
            <w:noWrap w:val="0"/>
            <w:vAlign w:val="center"/>
          </w:tcPr>
          <w:p>
            <w:pPr>
              <w:spacing w:line="300" w:lineRule="exact"/>
              <w:jc w:val="center"/>
              <w:rPr>
                <w:rFonts w:ascii="宋体" w:hAnsi="宋体" w:cs="宋体"/>
                <w:bCs/>
                <w:color w:val="000000"/>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67" w:hRule="atLeast"/>
          <w:jc w:val="center"/>
        </w:trPr>
        <w:tc>
          <w:tcPr>
            <w:tcW w:w="6135" w:type="dxa"/>
            <w:gridSpan w:val="2"/>
            <w:noWrap w:val="0"/>
            <w:vAlign w:val="center"/>
          </w:tcPr>
          <w:p>
            <w:pPr>
              <w:spacing w:line="300" w:lineRule="exact"/>
              <w:rPr>
                <w:rFonts w:ascii="宋体" w:hAnsi="宋体" w:cs="宋体"/>
                <w:bCs/>
                <w:color w:val="000000"/>
                <w:kern w:val="0"/>
                <w:sz w:val="24"/>
                <w:szCs w:val="24"/>
              </w:rPr>
            </w:pPr>
            <w:r>
              <w:rPr>
                <w:rFonts w:hint="eastAsia" w:ascii="宋体" w:hAnsi="宋体" w:cs="宋体"/>
                <w:bCs/>
                <w:color w:val="000000"/>
                <w:kern w:val="0"/>
                <w:sz w:val="24"/>
                <w:szCs w:val="24"/>
              </w:rPr>
              <w:t>合计（大写）：人民币                元整</w:t>
            </w:r>
          </w:p>
        </w:tc>
        <w:tc>
          <w:tcPr>
            <w:tcW w:w="2981" w:type="dxa"/>
            <w:noWrap w:val="0"/>
            <w:vAlign w:val="center"/>
          </w:tcPr>
          <w:p>
            <w:pPr>
              <w:spacing w:line="300" w:lineRule="exact"/>
              <w:rPr>
                <w:rFonts w:ascii="宋体" w:hAnsi="宋体" w:cs="宋体"/>
                <w:bCs/>
                <w:color w:val="000000"/>
                <w:kern w:val="0"/>
                <w:sz w:val="24"/>
                <w:szCs w:val="24"/>
              </w:rPr>
            </w:pPr>
            <w:r>
              <w:rPr>
                <w:rFonts w:hint="eastAsia" w:ascii="宋体" w:hAnsi="宋体" w:cs="宋体"/>
                <w:bCs/>
                <w:color w:val="000000"/>
                <w:kern w:val="0"/>
                <w:sz w:val="24"/>
                <w:szCs w:val="24"/>
              </w:rPr>
              <w:t>（小写）：¥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67" w:hRule="atLeast"/>
          <w:jc w:val="center"/>
        </w:trPr>
        <w:tc>
          <w:tcPr>
            <w:tcW w:w="9116" w:type="dxa"/>
            <w:gridSpan w:val="3"/>
            <w:noWrap w:val="0"/>
            <w:vAlign w:val="center"/>
          </w:tcPr>
          <w:p>
            <w:pPr>
              <w:spacing w:line="300" w:lineRule="exact"/>
              <w:rPr>
                <w:rFonts w:ascii="宋体" w:hAnsi="宋体" w:cs="宋体"/>
                <w:bCs/>
                <w:color w:val="000000"/>
                <w:kern w:val="0"/>
                <w:sz w:val="24"/>
                <w:szCs w:val="24"/>
              </w:rPr>
            </w:pPr>
            <w:r>
              <w:rPr>
                <w:rFonts w:hint="eastAsia" w:ascii="宋体" w:hAnsi="宋体" w:cs="宋体"/>
                <w:bCs/>
                <w:color w:val="000000"/>
                <w:kern w:val="0"/>
                <w:sz w:val="24"/>
                <w:szCs w:val="24"/>
              </w:rPr>
              <w:t>特别说明：</w:t>
            </w:r>
            <w:r>
              <w:rPr>
                <w:rFonts w:hint="eastAsia" w:ascii="仿宋_GB2312" w:hAnsi="仿宋_GB2312" w:eastAsia="仿宋_GB2312" w:cs="仿宋_GB2312"/>
                <w:i w:val="0"/>
                <w:iCs w:val="0"/>
                <w:color w:val="000000"/>
                <w:sz w:val="28"/>
                <w:szCs w:val="28"/>
                <w:u w:val="none"/>
                <w:lang w:val="en-US" w:eastAsia="zh-CN"/>
              </w:rPr>
              <w:t>以上报价   %增值税发票。</w:t>
            </w:r>
          </w:p>
        </w:tc>
      </w:tr>
    </w:tbl>
    <w:p>
      <w:pPr>
        <w:spacing w:after="156" w:line="400" w:lineRule="exact"/>
        <w:jc w:val="left"/>
        <w:rPr>
          <w:rFonts w:ascii="Times New Roman" w:hAnsi="Times New Roman" w:eastAsia="黑体"/>
          <w:color w:val="000000"/>
          <w:kern w:val="0"/>
          <w:sz w:val="24"/>
          <w:szCs w:val="24"/>
        </w:rPr>
      </w:pPr>
    </w:p>
    <w:p>
      <w:pPr>
        <w:spacing w:line="560" w:lineRule="exact"/>
        <w:ind w:firstLine="640" w:firstLineChars="200"/>
        <w:rPr>
          <w:rFonts w:ascii="仿宋_GB2312" w:hAnsi="仿宋_GB2312" w:eastAsia="仿宋_GB2312" w:cs="仿宋_GB2312"/>
          <w:color w:val="000000"/>
          <w:kern w:val="0"/>
          <w:sz w:val="32"/>
          <w:szCs w:val="32"/>
          <w:u w:val="single"/>
        </w:rPr>
      </w:pPr>
      <w:r>
        <w:rPr>
          <w:rFonts w:hint="eastAsia" w:ascii="黑体" w:hAnsi="黑体" w:eastAsia="黑体" w:cs="黑体"/>
          <w:color w:val="000000"/>
          <w:kern w:val="0"/>
          <w:sz w:val="32"/>
          <w:szCs w:val="32"/>
        </w:rPr>
        <w:t>二、成果提交时间：</w:t>
      </w:r>
      <w:r>
        <w:rPr>
          <w:rFonts w:hint="eastAsia" w:ascii="仿宋_GB2312" w:hAnsi="仿宋_GB2312" w:eastAsia="仿宋_GB2312" w:cs="仿宋_GB2312"/>
          <w:color w:val="000000"/>
          <w:kern w:val="0"/>
          <w:sz w:val="32"/>
          <w:szCs w:val="32"/>
          <w:u w:val="single"/>
        </w:rPr>
        <w:t>                </w:t>
      </w:r>
      <w:r>
        <w:rPr>
          <w:rFonts w:hint="eastAsia" w:ascii="仿宋_GB2312" w:hAnsi="仿宋_GB2312" w:eastAsia="仿宋_GB2312" w:cs="仿宋_GB2312"/>
          <w:color w:val="000000"/>
          <w:kern w:val="0"/>
          <w:sz w:val="32"/>
          <w:szCs w:val="32"/>
        </w:rPr>
        <w:t>。</w:t>
      </w:r>
    </w:p>
    <w:p>
      <w:pPr>
        <w:topLinePunct/>
        <w:spacing w:line="560" w:lineRule="exact"/>
        <w:ind w:firstLine="640" w:firstLineChars="200"/>
        <w:rPr>
          <w:rFonts w:ascii="黑体" w:hAnsi="黑体" w:eastAsia="黑体" w:cs="黑体"/>
          <w:color w:val="000000"/>
          <w:kern w:val="0"/>
          <w:sz w:val="32"/>
          <w:szCs w:val="32"/>
        </w:rPr>
      </w:pPr>
      <w:r>
        <w:rPr>
          <w:rFonts w:hint="eastAsia" w:ascii="黑体" w:hAnsi="黑体" w:eastAsia="黑体" w:cs="黑体"/>
          <w:color w:val="000000"/>
          <w:kern w:val="0"/>
          <w:sz w:val="32"/>
          <w:szCs w:val="32"/>
        </w:rPr>
        <w:t>三、质量保证承诺：</w:t>
      </w:r>
      <w:r>
        <w:rPr>
          <w:rFonts w:eastAsia="黑体" w:cs="Calibri"/>
          <w:color w:val="000000"/>
          <w:kern w:val="0"/>
          <w:sz w:val="32"/>
          <w:szCs w:val="32"/>
        </w:rPr>
        <w:t>                   </w:t>
      </w:r>
      <w:r>
        <w:rPr>
          <w:rFonts w:hint="eastAsia" w:ascii="黑体" w:hAnsi="黑体" w:eastAsia="黑体" w:cs="黑体"/>
          <w:color w:val="000000"/>
          <w:kern w:val="0"/>
          <w:sz w:val="32"/>
          <w:szCs w:val="32"/>
        </w:rPr>
        <w:t>。</w:t>
      </w:r>
      <w:r>
        <w:rPr>
          <w:rFonts w:hint="eastAsia" w:ascii="仿宋" w:hAnsi="仿宋" w:eastAsia="仿宋" w:cs="黑体"/>
          <w:color w:val="000000"/>
          <w:kern w:val="0"/>
          <w:sz w:val="32"/>
          <w:szCs w:val="32"/>
        </w:rPr>
        <w:t>（可以写在背面）</w:t>
      </w:r>
    </w:p>
    <w:p>
      <w:pPr>
        <w:spacing w:line="560" w:lineRule="exact"/>
        <w:ind w:firstLine="640" w:firstLineChars="200"/>
        <w:rPr>
          <w:rFonts w:hint="eastAsia" w:ascii="黑体" w:hAnsi="黑体" w:eastAsia="黑体" w:cs="黑体"/>
          <w:color w:val="000000"/>
          <w:kern w:val="0"/>
          <w:sz w:val="32"/>
          <w:szCs w:val="32"/>
        </w:rPr>
      </w:pPr>
    </w:p>
    <w:p>
      <w:pPr>
        <w:spacing w:line="560" w:lineRule="exact"/>
        <w:ind w:firstLine="640" w:firstLineChars="200"/>
        <w:rPr>
          <w:rFonts w:ascii="仿宋_GB2312" w:hAnsi="仿宋_GB2312" w:eastAsia="仿宋_GB2312" w:cs="仿宋_GB2312"/>
          <w:color w:val="000000"/>
          <w:kern w:val="0"/>
          <w:sz w:val="32"/>
          <w:szCs w:val="32"/>
        </w:rPr>
      </w:pPr>
      <w:r>
        <w:rPr>
          <w:rFonts w:hint="eastAsia" w:ascii="黑体" w:hAnsi="黑体" w:eastAsia="黑体" w:cs="黑体"/>
          <w:color w:val="000000"/>
          <w:kern w:val="0"/>
          <w:sz w:val="32"/>
          <w:szCs w:val="32"/>
        </w:rPr>
        <w:t>四、售后服务承诺：</w:t>
      </w:r>
      <w:r>
        <w:rPr>
          <w:rFonts w:eastAsia="黑体" w:cs="Calibri"/>
          <w:color w:val="000000"/>
          <w:kern w:val="0"/>
          <w:sz w:val="32"/>
          <w:szCs w:val="32"/>
        </w:rPr>
        <w:t>                 </w:t>
      </w:r>
      <w:r>
        <w:rPr>
          <w:rFonts w:hint="eastAsia" w:ascii="黑体" w:hAnsi="黑体" w:eastAsia="黑体" w:cs="黑体"/>
          <w:color w:val="000000"/>
          <w:kern w:val="0"/>
          <w:sz w:val="32"/>
          <w:szCs w:val="32"/>
        </w:rPr>
        <w:t xml:space="preserve"> 。</w:t>
      </w:r>
      <w:r>
        <w:rPr>
          <w:rFonts w:hint="eastAsia" w:ascii="仿宋_GB2312" w:hAnsi="仿宋_GB2312" w:eastAsia="仿宋_GB2312" w:cs="仿宋_GB2312"/>
          <w:color w:val="000000"/>
          <w:kern w:val="0"/>
          <w:sz w:val="32"/>
          <w:szCs w:val="32"/>
        </w:rPr>
        <w:t>（可以写在背面）</w:t>
      </w:r>
    </w:p>
    <w:p>
      <w:pPr>
        <w:pStyle w:val="2"/>
        <w:ind w:left="0" w:leftChars="0" w:firstLine="0" w:firstLineChars="0"/>
      </w:pPr>
    </w:p>
    <w:p>
      <w:pPr>
        <w:topLinePunct/>
        <w:spacing w:line="560" w:lineRule="exact"/>
        <w:ind w:firstLine="640" w:firstLineChars="200"/>
        <w:rPr>
          <w:rFonts w:ascii="黑体" w:hAnsi="黑体" w:eastAsia="黑体" w:cs="黑体"/>
          <w:color w:val="000000"/>
          <w:kern w:val="0"/>
          <w:sz w:val="32"/>
          <w:szCs w:val="32"/>
        </w:rPr>
      </w:pPr>
      <w:r>
        <w:rPr>
          <w:rFonts w:hint="eastAsia" w:ascii="黑体" w:hAnsi="黑体" w:eastAsia="黑体" w:cs="黑体"/>
          <w:color w:val="000000"/>
          <w:kern w:val="0"/>
          <w:sz w:val="32"/>
          <w:szCs w:val="32"/>
        </w:rPr>
        <w:t>五、联系方式：</w:t>
      </w:r>
    </w:p>
    <w:p>
      <w:pPr>
        <w:spacing w:line="560" w:lineRule="exact"/>
        <w:ind w:firstLine="640" w:firstLineChars="200"/>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报价单位名称：（盖章）             </w:t>
      </w:r>
    </w:p>
    <w:p>
      <w:pPr>
        <w:spacing w:line="560" w:lineRule="exact"/>
        <w:ind w:firstLine="640" w:firstLineChars="200"/>
        <w:rPr>
          <w:rFonts w:ascii="仿宋_GB2312" w:hAnsi="仿宋_GB2312" w:eastAsia="仿宋_GB2312" w:cs="仿宋_GB2312"/>
          <w:color w:val="000000"/>
          <w:kern w:val="0"/>
          <w:sz w:val="32"/>
          <w:szCs w:val="32"/>
        </w:rPr>
      </w:pPr>
    </w:p>
    <w:p>
      <w:pPr>
        <w:spacing w:line="560" w:lineRule="exact"/>
        <w:ind w:firstLine="640" w:firstLineChars="200"/>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联系人：                 电话：</w:t>
      </w:r>
    </w:p>
    <w:p>
      <w:pPr>
        <w:spacing w:line="560" w:lineRule="exact"/>
        <w:ind w:firstLine="320" w:firstLineChars="100"/>
        <w:rPr>
          <w:rFonts w:ascii="仿宋_GB2312" w:hAnsi="仿宋_GB2312" w:eastAsia="仿宋_GB2312" w:cs="仿宋_GB2312"/>
          <w:color w:val="000000"/>
          <w:kern w:val="0"/>
          <w:sz w:val="32"/>
          <w:szCs w:val="32"/>
        </w:rPr>
      </w:pPr>
    </w:p>
    <w:p>
      <w:pPr>
        <w:spacing w:line="560" w:lineRule="exact"/>
        <w:ind w:firstLine="640" w:firstLineChars="200"/>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 xml:space="preserve">地址：                                  </w:t>
      </w:r>
    </w:p>
    <w:p>
      <w:pPr>
        <w:keepNext w:val="0"/>
        <w:keepLines w:val="0"/>
        <w:pageBreakBefore w:val="0"/>
        <w:widowControl w:val="0"/>
        <w:kinsoku/>
        <w:wordWrap/>
        <w:overflowPunct/>
        <w:topLinePunct w:val="0"/>
        <w:autoSpaceDE/>
        <w:autoSpaceDN/>
        <w:bidi w:val="0"/>
        <w:adjustRightInd/>
        <w:snapToGrid/>
        <w:jc w:val="left"/>
        <w:textAlignment w:val="auto"/>
        <w:rPr>
          <w:rFonts w:hint="eastAsia" w:ascii="仿宋_GB2312" w:hAnsi="仿宋_GB2312" w:eastAsia="仿宋_GB2312" w:cs="仿宋_GB2312"/>
          <w:sz w:val="32"/>
          <w:szCs w:val="40"/>
          <w:lang w:val="en-US" w:eastAsia="zh-CN"/>
        </w:rPr>
      </w:pPr>
    </w:p>
    <w:p>
      <w:pPr>
        <w:keepNext w:val="0"/>
        <w:keepLines w:val="0"/>
        <w:pageBreakBefore w:val="0"/>
        <w:widowControl w:val="0"/>
        <w:kinsoku/>
        <w:wordWrap/>
        <w:overflowPunct/>
        <w:topLinePunct w:val="0"/>
        <w:autoSpaceDE/>
        <w:autoSpaceDN/>
        <w:bidi w:val="0"/>
        <w:adjustRightInd/>
        <w:snapToGrid/>
        <w:jc w:val="left"/>
        <w:textAlignment w:val="auto"/>
        <w:rPr>
          <w:rFonts w:hint="default" w:ascii="仿宋_GB2312" w:hAnsi="仿宋_GB2312" w:eastAsia="仿宋_GB2312" w:cs="仿宋_GB2312"/>
          <w:sz w:val="32"/>
          <w:szCs w:val="40"/>
          <w:lang w:val="en-US" w:eastAsia="zh-CN"/>
        </w:rPr>
      </w:pPr>
      <w:r>
        <w:rPr>
          <w:rFonts w:hint="eastAsia" w:ascii="仿宋_GB2312" w:hAnsi="仿宋_GB2312" w:eastAsia="仿宋_GB2312" w:cs="仿宋_GB2312"/>
          <w:sz w:val="32"/>
          <w:szCs w:val="40"/>
          <w:lang w:val="en-US" w:eastAsia="zh-CN"/>
        </w:rPr>
        <w:t>附件2：</w:t>
      </w:r>
    </w:p>
    <w:p>
      <w:pPr>
        <w:keepNext w:val="0"/>
        <w:keepLines w:val="0"/>
        <w:pageBreakBefore w:val="0"/>
        <w:widowControl w:val="0"/>
        <w:kinsoku/>
        <w:wordWrap/>
        <w:overflowPunct/>
        <w:topLinePunct w:val="0"/>
        <w:autoSpaceDE/>
        <w:autoSpaceDN/>
        <w:bidi w:val="0"/>
        <w:adjustRightInd/>
        <w:snapToGrid/>
        <w:ind w:firstLine="720" w:firstLineChars="200"/>
        <w:jc w:val="center"/>
        <w:textAlignment w:val="auto"/>
        <w:rPr>
          <w:rFonts w:hint="eastAsia" w:ascii="仿宋_GB2312" w:hAnsi="仿宋_GB2312" w:eastAsia="仿宋_GB2312" w:cs="仿宋_GB2312"/>
          <w:b w:val="0"/>
          <w:bCs w:val="0"/>
          <w:sz w:val="36"/>
          <w:szCs w:val="44"/>
          <w:lang w:val="en-US" w:eastAsia="zh-CN"/>
        </w:rPr>
      </w:pPr>
      <w:r>
        <w:rPr>
          <w:rFonts w:hint="eastAsia" w:ascii="仿宋_GB2312" w:hAnsi="仿宋_GB2312" w:eastAsia="仿宋_GB2312" w:cs="仿宋_GB2312"/>
          <w:b w:val="0"/>
          <w:bCs w:val="0"/>
          <w:sz w:val="36"/>
          <w:szCs w:val="44"/>
          <w:lang w:val="en-US" w:eastAsia="zh-CN"/>
        </w:rPr>
        <w:t>承诺书</w:t>
      </w:r>
    </w:p>
    <w:p>
      <w:pPr>
        <w:keepNext w:val="0"/>
        <w:keepLines w:val="0"/>
        <w:pageBreakBefore w:val="0"/>
        <w:widowControl w:val="0"/>
        <w:kinsoku/>
        <w:wordWrap/>
        <w:overflowPunct/>
        <w:topLinePunct w:val="0"/>
        <w:autoSpaceDE/>
        <w:autoSpaceDN/>
        <w:bidi w:val="0"/>
        <w:adjustRightInd/>
        <w:snapToGrid/>
        <w:ind w:firstLine="723" w:firstLineChars="200"/>
        <w:jc w:val="center"/>
        <w:textAlignment w:val="auto"/>
        <w:rPr>
          <w:rFonts w:hint="eastAsia" w:ascii="仿宋_GB2312" w:hAnsi="仿宋_GB2312" w:eastAsia="仿宋_GB2312" w:cs="仿宋_GB2312"/>
          <w:b/>
          <w:bCs/>
          <w:sz w:val="36"/>
          <w:szCs w:val="44"/>
          <w:lang w:val="en-US" w:eastAsia="zh-CN"/>
        </w:rPr>
      </w:pPr>
    </w:p>
    <w:p>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仿宋_GB2312" w:hAnsi="仿宋_GB2312" w:eastAsia="仿宋_GB2312" w:cs="仿宋_GB2312"/>
          <w:sz w:val="32"/>
          <w:szCs w:val="40"/>
          <w:lang w:val="en-US" w:eastAsia="zh-CN"/>
        </w:rPr>
      </w:pPr>
      <w:r>
        <w:rPr>
          <w:rFonts w:hint="eastAsia" w:ascii="仿宋_GB2312" w:hAnsi="仿宋_GB2312" w:eastAsia="仿宋_GB2312" w:cs="仿宋_GB2312"/>
          <w:sz w:val="32"/>
          <w:szCs w:val="40"/>
          <w:lang w:val="en-US" w:eastAsia="zh-CN"/>
        </w:rPr>
        <w:t>我公司为独立法人单位，我公司主要人员及其直系亲属均未有在会昌县恒茂建设发展集团有限责任公司（包括下属子公司）从业的记录以及不存在控股、管理关系和亲属等利害关系。</w:t>
      </w:r>
    </w:p>
    <w:p>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仿宋_GB2312" w:hAnsi="仿宋_GB2312" w:eastAsia="仿宋_GB2312" w:cs="仿宋_GB2312"/>
          <w:sz w:val="32"/>
          <w:szCs w:val="40"/>
          <w:lang w:val="en-US" w:eastAsia="zh-CN"/>
        </w:rPr>
      </w:pPr>
      <w:r>
        <w:rPr>
          <w:rFonts w:hint="eastAsia" w:ascii="仿宋_GB2312" w:hAnsi="仿宋_GB2312" w:eastAsia="仿宋_GB2312" w:cs="仿宋_GB2312"/>
          <w:sz w:val="32"/>
          <w:szCs w:val="40"/>
          <w:lang w:val="en-US" w:eastAsia="zh-CN"/>
        </w:rPr>
        <w:t>特此承诺。</w:t>
      </w:r>
    </w:p>
    <w:p>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仿宋_GB2312" w:hAnsi="仿宋_GB2312" w:eastAsia="仿宋_GB2312" w:cs="仿宋_GB2312"/>
          <w:sz w:val="32"/>
          <w:szCs w:val="40"/>
          <w:lang w:val="en-US" w:eastAsia="zh-CN"/>
        </w:rPr>
      </w:pPr>
      <w:r>
        <w:rPr>
          <w:rFonts w:hint="eastAsia" w:ascii="仿宋_GB2312" w:hAnsi="仿宋_GB2312" w:eastAsia="仿宋_GB2312" w:cs="仿宋_GB2312"/>
          <w:sz w:val="32"/>
          <w:szCs w:val="40"/>
          <w:lang w:val="en-US" w:eastAsia="zh-CN"/>
        </w:rPr>
        <w:t>我公司对本承诺的真实性负责，并承担相应法律责任。</w:t>
      </w:r>
    </w:p>
    <w:p>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仿宋_GB2312" w:hAnsi="仿宋_GB2312" w:eastAsia="仿宋_GB2312" w:cs="仿宋_GB2312"/>
          <w:sz w:val="32"/>
          <w:szCs w:val="40"/>
          <w:lang w:val="en-US" w:eastAsia="zh-CN"/>
        </w:rPr>
      </w:pPr>
    </w:p>
    <w:p>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仿宋_GB2312" w:hAnsi="仿宋_GB2312" w:eastAsia="仿宋_GB2312" w:cs="仿宋_GB2312"/>
          <w:sz w:val="32"/>
          <w:szCs w:val="40"/>
          <w:lang w:val="en-US" w:eastAsia="zh-CN"/>
        </w:rPr>
      </w:pPr>
    </w:p>
    <w:p>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仿宋_GB2312" w:hAnsi="仿宋_GB2312" w:eastAsia="仿宋_GB2312" w:cs="仿宋_GB2312"/>
          <w:sz w:val="32"/>
          <w:szCs w:val="40"/>
          <w:lang w:val="en-US" w:eastAsia="zh-CN"/>
        </w:rPr>
      </w:pPr>
      <w:r>
        <w:rPr>
          <w:rFonts w:hint="eastAsia" w:ascii="仿宋_GB2312" w:hAnsi="仿宋_GB2312" w:eastAsia="仿宋_GB2312" w:cs="仿宋_GB2312"/>
          <w:sz w:val="32"/>
          <w:szCs w:val="40"/>
          <w:lang w:val="en-US" w:eastAsia="zh-CN"/>
        </w:rPr>
        <w:t xml:space="preserve">                        单位/个人：（签章）</w:t>
      </w:r>
    </w:p>
    <w:p>
      <w:pPr>
        <w:keepNext w:val="0"/>
        <w:keepLines w:val="0"/>
        <w:pageBreakBefore w:val="0"/>
        <w:widowControl w:val="0"/>
        <w:kinsoku/>
        <w:wordWrap/>
        <w:overflowPunct/>
        <w:topLinePunct w:val="0"/>
        <w:autoSpaceDE/>
        <w:autoSpaceDN/>
        <w:bidi w:val="0"/>
        <w:adjustRightInd/>
        <w:snapToGrid/>
        <w:ind w:firstLine="640" w:firstLineChars="200"/>
        <w:jc w:val="right"/>
        <w:textAlignment w:val="auto"/>
        <w:rPr>
          <w:rFonts w:hint="default" w:ascii="仿宋_GB2312" w:hAnsi="仿宋_GB2312" w:eastAsia="仿宋_GB2312" w:cs="仿宋_GB2312"/>
          <w:sz w:val="32"/>
          <w:szCs w:val="40"/>
          <w:lang w:val="en-US" w:eastAsia="zh-CN"/>
        </w:rPr>
      </w:pPr>
      <w:r>
        <w:rPr>
          <w:rFonts w:hint="eastAsia" w:ascii="仿宋_GB2312" w:hAnsi="仿宋_GB2312" w:eastAsia="仿宋_GB2312" w:cs="仿宋_GB2312"/>
          <w:sz w:val="32"/>
          <w:szCs w:val="40"/>
          <w:lang w:val="en-US" w:eastAsia="zh-CN"/>
        </w:rPr>
        <w:t>年    月   日</w:t>
      </w:r>
    </w:p>
    <w:p>
      <w:pPr>
        <w:keepNext w:val="0"/>
        <w:keepLines w:val="0"/>
        <w:pageBreakBefore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简体">
    <w:altName w:val="微软雅黑"/>
    <w:panose1 w:val="02000000000000000000"/>
    <w:charset w:val="86"/>
    <w:family w:val="auto"/>
    <w:pitch w:val="default"/>
    <w:sig w:usb0="00000000" w:usb1="00000000" w:usb2="00000012" w:usb3="00000000" w:csb0="00040001"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FkNzM2YTIyYjEzMTA5OTRkZmZkZGQ5YzU3ZDkyY2UifQ=="/>
  </w:docVars>
  <w:rsids>
    <w:rsidRoot w:val="00172A27"/>
    <w:rsid w:val="02474C73"/>
    <w:rsid w:val="07031895"/>
    <w:rsid w:val="089777A5"/>
    <w:rsid w:val="08E56427"/>
    <w:rsid w:val="0C34090D"/>
    <w:rsid w:val="0C3C5A14"/>
    <w:rsid w:val="1312622D"/>
    <w:rsid w:val="15166431"/>
    <w:rsid w:val="17E442A1"/>
    <w:rsid w:val="1CC134BA"/>
    <w:rsid w:val="1E824F04"/>
    <w:rsid w:val="2423692F"/>
    <w:rsid w:val="249C1A12"/>
    <w:rsid w:val="259A122A"/>
    <w:rsid w:val="2CFF220C"/>
    <w:rsid w:val="2E552D98"/>
    <w:rsid w:val="36B0290A"/>
    <w:rsid w:val="38E12CFB"/>
    <w:rsid w:val="3ABB4982"/>
    <w:rsid w:val="42A5722F"/>
    <w:rsid w:val="43343392"/>
    <w:rsid w:val="440928A9"/>
    <w:rsid w:val="457203AC"/>
    <w:rsid w:val="49FD0ECB"/>
    <w:rsid w:val="50FE08DA"/>
    <w:rsid w:val="597D5031"/>
    <w:rsid w:val="625978FB"/>
    <w:rsid w:val="671501B7"/>
    <w:rsid w:val="67DA540E"/>
    <w:rsid w:val="681A4A5C"/>
    <w:rsid w:val="6A5F5EBC"/>
    <w:rsid w:val="6DF047B2"/>
    <w:rsid w:val="6FE94E01"/>
    <w:rsid w:val="726A16B0"/>
    <w:rsid w:val="73913443"/>
    <w:rsid w:val="775C4F0A"/>
    <w:rsid w:val="77C83101"/>
    <w:rsid w:val="7AAB01F0"/>
    <w:rsid w:val="7DEB5AB4"/>
    <w:rsid w:val="7EE145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2"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4">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5">
    <w:name w:val="heading 2"/>
    <w:basedOn w:val="1"/>
    <w:next w:val="1"/>
    <w:qFormat/>
    <w:uiPriority w:val="2"/>
    <w:pPr>
      <w:keepNext/>
      <w:keepLines/>
      <w:spacing w:before="260" w:after="260" w:line="416" w:lineRule="auto"/>
      <w:outlineLvl w:val="1"/>
    </w:pPr>
    <w:rPr>
      <w:rFonts w:ascii="Arial" w:hAnsi="Arial" w:eastAsia="黑体"/>
      <w:b/>
      <w:bCs/>
      <w:sz w:val="32"/>
      <w:szCs w:val="32"/>
    </w:rPr>
  </w:style>
  <w:style w:type="character" w:default="1" w:styleId="8">
    <w:name w:val="Default Paragraph Font"/>
    <w:semiHidden/>
    <w:qFormat/>
    <w:uiPriority w:val="0"/>
  </w:style>
  <w:style w:type="table" w:default="1" w:styleId="7">
    <w:name w:val="Normal Table"/>
    <w:semiHidden/>
    <w:qFormat/>
    <w:uiPriority w:val="0"/>
    <w:tblPr>
      <w:tblLayout w:type="fixed"/>
      <w:tblCellMar>
        <w:top w:w="0" w:type="dxa"/>
        <w:left w:w="108" w:type="dxa"/>
        <w:bottom w:w="0" w:type="dxa"/>
        <w:right w:w="108" w:type="dxa"/>
      </w:tblCellMar>
    </w:tblPr>
  </w:style>
  <w:style w:type="paragraph" w:styleId="2">
    <w:name w:val="Body Text First Indent 2"/>
    <w:basedOn w:val="3"/>
    <w:unhideWhenUsed/>
    <w:qFormat/>
    <w:uiPriority w:val="0"/>
    <w:pPr>
      <w:tabs>
        <w:tab w:val="left" w:pos="900"/>
        <w:tab w:val="left" w:pos="1080"/>
        <w:tab w:val="left" w:pos="1620"/>
      </w:tabs>
      <w:ind w:firstLine="420"/>
    </w:pPr>
  </w:style>
  <w:style w:type="paragraph" w:styleId="3">
    <w:name w:val="Body Text Indent"/>
    <w:basedOn w:val="1"/>
    <w:qFormat/>
    <w:uiPriority w:val="0"/>
    <w:pPr>
      <w:tabs>
        <w:tab w:val="left" w:pos="900"/>
        <w:tab w:val="left" w:pos="1080"/>
        <w:tab w:val="left" w:pos="1620"/>
      </w:tabs>
      <w:spacing w:line="590" w:lineRule="exact"/>
      <w:ind w:firstLine="640"/>
    </w:pPr>
    <w:rPr>
      <w:rFonts w:eastAsia="方正仿宋简体"/>
      <w:szCs w:val="28"/>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character" w:styleId="9">
    <w:name w:val="Strong"/>
    <w:basedOn w:val="8"/>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1249</Words>
  <Characters>1328</Characters>
  <Lines>0</Lines>
  <Paragraphs>0</Paragraphs>
  <TotalTime>1</TotalTime>
  <ScaleCrop>false</ScaleCrop>
  <LinksUpToDate>false</LinksUpToDate>
  <CharactersWithSpaces>1341</CharactersWithSpaces>
  <Application>WPS Office_11.8.2.8506_F1E327BC-269C-435d-A152-05C5408002CA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2024-07-12T01:05:00Z</dcterms:created>
  <dc:creator>Administrator</dc:creator>
  <cp:lastModifiedBy>Administrator</cp:lastModifiedBy>
  <cp:lastPrinted>2024-07-12T01:22:00Z</cp:lastPrinted>
  <dcterms:modified xsi:type="dcterms:W3CDTF">2024-08-14T03:23:36Z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2052-11.8.2.8506</vt:lpwstr>
  </property>
  <property fmtid="{D5CDD505-2E9C-101B-9397-08002B2CF9AE}" pid="3" name="ICV">
    <vt:lpwstr>59D10A6361214055ACB78723E0255563_13</vt:lpwstr>
  </property>
</Properties>
</file>